
<file path=[Content_Types].xml><?xml version="1.0" encoding="utf-8"?>
<Types xmlns="http://schemas.openxmlformats.org/package/2006/content-types">
  <Default Extension="emf" ContentType="image/x-emf"/>
  <Default Extension="jpe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D3D624C" w14:textId="25DC388E" w:rsidR="00834DBB" w:rsidRDefault="001F6556">
      <w:pPr>
        <w:pStyle w:val="Sinespaciado"/>
        <w:spacing w:before="480"/>
        <w:jc w:val="center"/>
        <w:rPr>
          <w:rFonts w:asciiTheme="majorHAnsi" w:eastAsiaTheme="minorHAnsi" w:hAnsiTheme="majorHAnsi"/>
          <w:color w:val="4472C4" w:themeColor="accent1"/>
          <w:sz w:val="20"/>
          <w:lang w:eastAsia="en-US"/>
        </w:rPr>
      </w:pPr>
      <w:r>
        <w:rPr>
          <w:rFonts w:eastAsiaTheme="minorHAnsi"/>
          <w:noProof/>
          <w:color w:val="4472C4" w:themeColor="accent1"/>
        </w:rPr>
        <w:drawing>
          <wp:anchor distT="0" distB="0" distL="114300" distR="114300" simplePos="0" relativeHeight="252323327" behindDoc="0" locked="0" layoutInCell="1" allowOverlap="1" wp14:anchorId="4B5DFFCF" wp14:editId="3DD7EA22">
            <wp:simplePos x="0" y="0"/>
            <wp:positionH relativeFrom="margin">
              <wp:posOffset>-540385</wp:posOffset>
            </wp:positionH>
            <wp:positionV relativeFrom="paragraph">
              <wp:posOffset>-576480</wp:posOffset>
            </wp:positionV>
            <wp:extent cx="7577455" cy="9914021"/>
            <wp:effectExtent l="0" t="0" r="4445" b="0"/>
            <wp:wrapNone/>
            <wp:docPr id="1366077745" name="Imagen 2" descr="Vista de una montaña verde&#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077745" name="Imagen 2" descr="Vista de una montaña verde&#10;&#10;Descripción generada automáticamente con confianza media"/>
                    <pic:cNvPicPr/>
                  </pic:nvPicPr>
                  <pic:blipFill rotWithShape="1">
                    <a:blip r:embed="rId8" cstate="hqprint">
                      <a:extLst>
                        <a:ext uri="{28A0092B-C50C-407E-A947-70E740481C1C}">
                          <a14:useLocalDpi xmlns:a14="http://schemas.microsoft.com/office/drawing/2010/main" val="0"/>
                        </a:ext>
                      </a:extLst>
                    </a:blip>
                    <a:srcRect t="-145"/>
                    <a:stretch/>
                  </pic:blipFill>
                  <pic:spPr bwMode="auto">
                    <a:xfrm>
                      <a:off x="0" y="0"/>
                      <a:ext cx="7577959" cy="99146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F813C1E" w14:textId="2C155BAC" w:rsidR="001169A4" w:rsidRPr="00D11C99" w:rsidRDefault="00230ADA" w:rsidP="00D11C99">
      <w:pPr>
        <w:pStyle w:val="Sinespaciado"/>
        <w:spacing w:before="480"/>
        <w:rPr>
          <w:color w:val="4472C4" w:themeColor="accent1"/>
        </w:rPr>
        <w:sectPr w:rsidR="001169A4" w:rsidRPr="00D11C99" w:rsidSect="00143331">
          <w:headerReference w:type="default" r:id="rId9"/>
          <w:footerReference w:type="default" r:id="rId10"/>
          <w:footerReference w:type="first" r:id="rId11"/>
          <w:type w:val="nextColumn"/>
          <w:pgSz w:w="11906" w:h="16838"/>
          <w:pgMar w:top="851" w:right="851" w:bottom="851" w:left="851" w:header="708" w:footer="708" w:gutter="0"/>
          <w:pgNumType w:start="0"/>
          <w:cols w:space="708"/>
          <w:titlePg/>
          <w:docGrid w:linePitch="360"/>
        </w:sectPr>
      </w:pPr>
      <w:r w:rsidRPr="00230ADA">
        <w:rPr>
          <w:rFonts w:cstheme="majorHAnsi"/>
          <w:noProof/>
          <w:color w:val="808080" w:themeColor="background1" w:themeShade="80"/>
          <w:sz w:val="28"/>
        </w:rPr>
        <w:drawing>
          <wp:anchor distT="0" distB="0" distL="114300" distR="114300" simplePos="0" relativeHeight="252329727" behindDoc="0" locked="0" layoutInCell="1" allowOverlap="1" wp14:anchorId="0C33F57C" wp14:editId="4A6A9566">
            <wp:simplePos x="0" y="0"/>
            <wp:positionH relativeFrom="margin">
              <wp:align>left</wp:align>
            </wp:positionH>
            <wp:positionV relativeFrom="paragraph">
              <wp:posOffset>591847</wp:posOffset>
            </wp:positionV>
            <wp:extent cx="7470028" cy="6478996"/>
            <wp:effectExtent l="0" t="0" r="0" b="0"/>
            <wp:wrapNone/>
            <wp:docPr id="14" name="Imagen 13" descr="Patrón de fondo&#10;&#10;Descripción generada automáticamente con confianza media">
              <a:extLst xmlns:a="http://schemas.openxmlformats.org/drawingml/2006/main">
                <a:ext uri="{FF2B5EF4-FFF2-40B4-BE49-F238E27FC236}">
                  <a16:creationId xmlns:a16="http://schemas.microsoft.com/office/drawing/2014/main" id="{C85AC40D-99B5-7098-F80C-F0100B40D04F}"/>
                </a:ext>
              </a:extLst>
            </wp:docPr>
            <wp:cNvGraphicFramePr/>
            <a:graphic xmlns:a="http://schemas.openxmlformats.org/drawingml/2006/main">
              <a:graphicData uri="http://schemas.openxmlformats.org/drawingml/2006/picture">
                <pic:pic xmlns:pic="http://schemas.openxmlformats.org/drawingml/2006/picture">
                  <pic:nvPicPr>
                    <pic:cNvPr id="14" name="Imagen 13" descr="Patrón de fondo&#10;&#10;Descripción generada automáticamente con confianza media">
                      <a:extLst>
                        <a:ext uri="{FF2B5EF4-FFF2-40B4-BE49-F238E27FC236}">
                          <a16:creationId xmlns:a16="http://schemas.microsoft.com/office/drawing/2014/main" id="{C85AC40D-99B5-7098-F80C-F0100B40D04F}"/>
                        </a:ext>
                      </a:extLst>
                    </pic:cNvPr>
                    <pic:cNvPicPr/>
                  </pic:nvPicPr>
                  <pic:blipFill>
                    <a:blip r:embed="rId12"/>
                    <a:stretch>
                      <a:fillRect/>
                    </a:stretch>
                  </pic:blipFill>
                  <pic:spPr>
                    <a:xfrm rot="5400000">
                      <a:off x="0" y="0"/>
                      <a:ext cx="7470028" cy="6478996"/>
                    </a:xfrm>
                    <a:prstGeom prst="rect">
                      <a:avLst/>
                    </a:prstGeom>
                  </pic:spPr>
                </pic:pic>
              </a:graphicData>
            </a:graphic>
            <wp14:sizeRelH relativeFrom="margin">
              <wp14:pctWidth>0</wp14:pctWidth>
            </wp14:sizeRelH>
          </wp:anchor>
        </w:drawing>
      </w:r>
      <w:r w:rsidR="000D5634" w:rsidRPr="00A8259B">
        <w:rPr>
          <w:rFonts w:eastAsiaTheme="minorHAnsi"/>
          <w:noProof/>
          <w:color w:val="4472C4" w:themeColor="accent1"/>
        </w:rPr>
        <mc:AlternateContent>
          <mc:Choice Requires="wps">
            <w:drawing>
              <wp:anchor distT="45720" distB="45720" distL="114300" distR="114300" simplePos="0" relativeHeight="252339200" behindDoc="0" locked="0" layoutInCell="1" allowOverlap="1" wp14:anchorId="2C036913" wp14:editId="1811CFB5">
                <wp:simplePos x="0" y="0"/>
                <wp:positionH relativeFrom="margin">
                  <wp:align>center</wp:align>
                </wp:positionH>
                <wp:positionV relativeFrom="paragraph">
                  <wp:posOffset>718820</wp:posOffset>
                </wp:positionV>
                <wp:extent cx="6177280" cy="1404620"/>
                <wp:effectExtent l="0" t="0" r="0" b="0"/>
                <wp:wrapSquare wrapText="bothSides"/>
                <wp:docPr id="3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7280" cy="1404620"/>
                        </a:xfrm>
                        <a:prstGeom prst="rect">
                          <a:avLst/>
                        </a:prstGeom>
                        <a:noFill/>
                        <a:ln w="9525">
                          <a:noFill/>
                          <a:miter lim="800000"/>
                          <a:headEnd/>
                          <a:tailEnd/>
                        </a:ln>
                      </wps:spPr>
                      <wps:txbx>
                        <w:txbxContent>
                          <w:p w14:paraId="391005F3" w14:textId="01D40C77" w:rsidR="00230ADA" w:rsidRPr="00230ADA" w:rsidRDefault="00A93B77" w:rsidP="00230ADA">
                            <w:pPr>
                              <w:pStyle w:val="1Portadas"/>
                              <w:spacing w:after="360"/>
                              <w:rPr>
                                <w:color w:val="FFFFFF" w:themeColor="background1"/>
                              </w:rPr>
                            </w:pPr>
                            <w:bookmarkStart w:id="0" w:name="_Hlk186189673"/>
                            <w:r>
                              <w:rPr>
                                <w:color w:val="FFFFFF" w:themeColor="background1"/>
                              </w:rPr>
                              <w:t>Informe recopilatorio</w:t>
                            </w:r>
                            <w:r w:rsidR="00B31C27" w:rsidRPr="00B31C27">
                              <w:rPr>
                                <w:color w:val="FFFFFF" w:themeColor="background1"/>
                              </w:rPr>
                              <w:t xml:space="preserve"> sobre normativa medioambiental de aplicación a los sectores de logística y movilidad del País Vasco</w:t>
                            </w:r>
                            <w:bookmarkEnd w:id="0"/>
                          </w:p>
                          <w:p w14:paraId="54FBEB02" w14:textId="77777777" w:rsidR="00B31C27" w:rsidRDefault="00B31C27" w:rsidP="00DB1DC8">
                            <w:pPr>
                              <w:spacing w:after="360"/>
                              <w:jc w:val="center"/>
                              <w:rPr>
                                <w:rFonts w:ascii="Averta" w:hAnsi="Averta" w:cstheme="majorHAnsi"/>
                                <w:color w:val="FFFFFF" w:themeColor="background1"/>
                                <w:sz w:val="40"/>
                                <w:szCs w:val="40"/>
                              </w:rPr>
                            </w:pPr>
                          </w:p>
                          <w:p w14:paraId="01D03E4B" w14:textId="6AF0FF76" w:rsidR="00A8259B" w:rsidRPr="00230ADA" w:rsidRDefault="00B31C27" w:rsidP="00DB1DC8">
                            <w:pPr>
                              <w:spacing w:after="360"/>
                              <w:jc w:val="center"/>
                              <w:rPr>
                                <w:rFonts w:ascii="Averta" w:hAnsi="Averta" w:cstheme="majorHAnsi"/>
                                <w:color w:val="FFFFFF" w:themeColor="background1"/>
                                <w:sz w:val="40"/>
                                <w:szCs w:val="40"/>
                              </w:rPr>
                            </w:pPr>
                            <w:r>
                              <w:rPr>
                                <w:rFonts w:ascii="Averta" w:hAnsi="Averta" w:cstheme="majorHAnsi"/>
                                <w:color w:val="FFFFFF" w:themeColor="background1"/>
                                <w:sz w:val="40"/>
                                <w:szCs w:val="40"/>
                              </w:rPr>
                              <w:t>Diciembre</w:t>
                            </w:r>
                            <w:r w:rsidR="00A8259B" w:rsidRPr="00230ADA">
                              <w:rPr>
                                <w:rFonts w:ascii="Averta" w:hAnsi="Averta" w:cstheme="majorHAnsi"/>
                                <w:color w:val="FFFFFF" w:themeColor="background1"/>
                                <w:sz w:val="40"/>
                                <w:szCs w:val="40"/>
                              </w:rPr>
                              <w:t xml:space="preserve"> 202</w:t>
                            </w:r>
                            <w:r w:rsidR="00F30AEB">
                              <w:rPr>
                                <w:rFonts w:ascii="Averta" w:hAnsi="Averta" w:cstheme="majorHAnsi"/>
                                <w:color w:val="FFFFFF" w:themeColor="background1"/>
                                <w:sz w:val="40"/>
                                <w:szCs w:val="40"/>
                              </w:rPr>
                              <w:t>4</w:t>
                            </w:r>
                          </w:p>
                          <w:p w14:paraId="7C9BCC4E" w14:textId="5EB3A882" w:rsidR="00A8259B" w:rsidRPr="00230ADA" w:rsidRDefault="00A8259B">
                            <w:pPr>
                              <w:rPr>
                                <w:color w:val="FFFFFF" w:themeColor="background1"/>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2C036913" id="_x0000_t202" coordsize="21600,21600" o:spt="202" path="m,l,21600r21600,l21600,xe">
                <v:stroke joinstyle="miter"/>
                <v:path gradientshapeok="t" o:connecttype="rect"/>
              </v:shapetype>
              <v:shape id="Cuadro de texto 2" o:spid="_x0000_s1026" type="#_x0000_t202" style="position:absolute;margin-left:0;margin-top:56.6pt;width:486.4pt;height:110.6pt;z-index:252339200;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" filled="f" stroked="f">
                <v:textbox style="mso-fit-shape-to-text:t">
                  <w:txbxContent>
                    <w:p w14:paraId="391005F3" w14:textId="01D40C77" w:rsidR="00230ADA" w:rsidRPr="00230ADA" w:rsidRDefault="00A93B77" w:rsidP="00230ADA">
                      <w:pPr>
                        <w:pStyle w:val="1Portadas"/>
                        <w:spacing w:after="360"/>
                        <w:rPr>
                          <w:color w:val="FFFFFF" w:themeColor="background1"/>
                        </w:rPr>
                      </w:pPr>
                      <w:bookmarkStart w:id="1" w:name="_Hlk186189673"/>
                      <w:r>
                        <w:rPr>
                          <w:color w:val="FFFFFF" w:themeColor="background1"/>
                        </w:rPr>
                        <w:t>Informe recopilatorio</w:t>
                      </w:r>
                      <w:r w:rsidR="00B31C27" w:rsidRPr="00B31C27">
                        <w:rPr>
                          <w:color w:val="FFFFFF" w:themeColor="background1"/>
                        </w:rPr>
                        <w:t xml:space="preserve"> sobre normativa medioambiental de aplicación a los sectores de logística y movilidad del País Vasco</w:t>
                      </w:r>
                      <w:bookmarkEnd w:id="1"/>
                    </w:p>
                    <w:p w14:paraId="54FBEB02" w14:textId="77777777" w:rsidR="00B31C27" w:rsidRDefault="00B31C27" w:rsidP="00DB1DC8">
                      <w:pPr>
                        <w:spacing w:after="360"/>
                        <w:jc w:val="center"/>
                        <w:rPr>
                          <w:rFonts w:ascii="Averta" w:hAnsi="Averta" w:cstheme="majorHAnsi"/>
                          <w:color w:val="FFFFFF" w:themeColor="background1"/>
                          <w:sz w:val="40"/>
                          <w:szCs w:val="40"/>
                        </w:rPr>
                      </w:pPr>
                    </w:p>
                    <w:p w14:paraId="01D03E4B" w14:textId="6AF0FF76" w:rsidR="00A8259B" w:rsidRPr="00230ADA" w:rsidRDefault="00B31C27" w:rsidP="00DB1DC8">
                      <w:pPr>
                        <w:spacing w:after="360"/>
                        <w:jc w:val="center"/>
                        <w:rPr>
                          <w:rFonts w:ascii="Averta" w:hAnsi="Averta" w:cstheme="majorHAnsi"/>
                          <w:color w:val="FFFFFF" w:themeColor="background1"/>
                          <w:sz w:val="40"/>
                          <w:szCs w:val="40"/>
                        </w:rPr>
                      </w:pPr>
                      <w:r>
                        <w:rPr>
                          <w:rFonts w:ascii="Averta" w:hAnsi="Averta" w:cstheme="majorHAnsi"/>
                          <w:color w:val="FFFFFF" w:themeColor="background1"/>
                          <w:sz w:val="40"/>
                          <w:szCs w:val="40"/>
                        </w:rPr>
                        <w:t>Diciembre</w:t>
                      </w:r>
                      <w:r w:rsidR="00A8259B" w:rsidRPr="00230ADA">
                        <w:rPr>
                          <w:rFonts w:ascii="Averta" w:hAnsi="Averta" w:cstheme="majorHAnsi"/>
                          <w:color w:val="FFFFFF" w:themeColor="background1"/>
                          <w:sz w:val="40"/>
                          <w:szCs w:val="40"/>
                        </w:rPr>
                        <w:t xml:space="preserve"> 202</w:t>
                      </w:r>
                      <w:r w:rsidR="00F30AEB">
                        <w:rPr>
                          <w:rFonts w:ascii="Averta" w:hAnsi="Averta" w:cstheme="majorHAnsi"/>
                          <w:color w:val="FFFFFF" w:themeColor="background1"/>
                          <w:sz w:val="40"/>
                          <w:szCs w:val="40"/>
                        </w:rPr>
                        <w:t>4</w:t>
                      </w:r>
                    </w:p>
                    <w:p w14:paraId="7C9BCC4E" w14:textId="5EB3A882" w:rsidR="00A8259B" w:rsidRPr="00230ADA" w:rsidRDefault="00A8259B">
                      <w:pPr>
                        <w:rPr>
                          <w:color w:val="FFFFFF" w:themeColor="background1"/>
                        </w:rPr>
                      </w:pPr>
                    </w:p>
                  </w:txbxContent>
                </v:textbox>
                <w10:wrap type="square" anchorx="margin"/>
              </v:shape>
            </w:pict>
          </mc:Fallback>
        </mc:AlternateContent>
      </w:r>
      <w:r w:rsidR="000D5634" w:rsidRPr="00230ADA">
        <w:rPr>
          <w:rFonts w:cstheme="majorHAnsi"/>
          <w:noProof/>
          <w:color w:val="808080" w:themeColor="background1" w:themeShade="80"/>
          <w:sz w:val="28"/>
        </w:rPr>
        <mc:AlternateContent>
          <mc:Choice Requires="wps">
            <w:drawing>
              <wp:anchor distT="0" distB="0" distL="114300" distR="114300" simplePos="0" relativeHeight="252824576" behindDoc="0" locked="0" layoutInCell="1" allowOverlap="1" wp14:anchorId="0AC1EE69" wp14:editId="022C1551">
                <wp:simplePos x="0" y="0"/>
                <wp:positionH relativeFrom="margin">
                  <wp:align>center</wp:align>
                </wp:positionH>
                <wp:positionV relativeFrom="paragraph">
                  <wp:posOffset>6273165</wp:posOffset>
                </wp:positionV>
                <wp:extent cx="2663825" cy="307340"/>
                <wp:effectExtent l="0" t="0" r="0" b="0"/>
                <wp:wrapNone/>
                <wp:docPr id="2055642287" name="CuadroTexto 15"/>
                <wp:cNvGraphicFramePr/>
                <a:graphic xmlns:a="http://schemas.openxmlformats.org/drawingml/2006/main">
                  <a:graphicData uri="http://schemas.microsoft.com/office/word/2010/wordprocessingShape">
                    <wps:wsp>
                      <wps:cNvSpPr txBox="1"/>
                      <wps:spPr>
                        <a:xfrm>
                          <a:off x="0" y="0"/>
                          <a:ext cx="2663825" cy="307340"/>
                        </a:xfrm>
                        <a:prstGeom prst="rect">
                          <a:avLst/>
                        </a:prstGeom>
                        <a:noFill/>
                      </wps:spPr>
                      <wps:txbx>
                        <w:txbxContent>
                          <w:p w14:paraId="3895F793" w14:textId="77777777" w:rsidR="00230ADA" w:rsidRDefault="00230ADA" w:rsidP="00230ADA">
                            <w:pPr>
                              <w:jc w:val="center"/>
                              <w:textAlignment w:val="baseline"/>
                              <w:rPr>
                                <w:rFonts w:ascii="Calibri Light" w:hAnsi="Calibri Light" w:cs="Calibri Light"/>
                                <w:b/>
                                <w:bCs/>
                                <w:color w:val="FFFFFF" w:themeColor="background1"/>
                                <w:spacing w:val="60"/>
                                <w:kern w:val="24"/>
                                <w:sz w:val="28"/>
                                <w:szCs w:val="28"/>
                                <w:lang w:val="en-US"/>
                              </w:rPr>
                            </w:pPr>
                            <w:r>
                              <w:rPr>
                                <w:rFonts w:ascii="Calibri Light" w:hAnsi="Calibri Light" w:cs="Calibri Light"/>
                                <w:b/>
                                <w:bCs/>
                                <w:color w:val="FFFFFF" w:themeColor="background1"/>
                                <w:spacing w:val="60"/>
                                <w:kern w:val="24"/>
                                <w:sz w:val="28"/>
                                <w:szCs w:val="28"/>
                                <w:lang w:val="en-US"/>
                              </w:rPr>
                              <w:t>www.globalfactor.com</w:t>
                            </w:r>
                          </w:p>
                        </w:txbxContent>
                      </wps:txbx>
                      <wps:bodyPr wrap="square" rtlCol="0">
                        <a:spAutoFit/>
                      </wps:bodyPr>
                    </wps:wsp>
                  </a:graphicData>
                </a:graphic>
              </wp:anchor>
            </w:drawing>
          </mc:Choice>
          <mc:Fallback>
            <w:pict>
              <v:shape w14:anchorId="0AC1EE69" id="CuadroTexto 15" o:spid="_x0000_s1027" type="#_x0000_t202" style="position:absolute;margin-left:0;margin-top:493.95pt;width:209.75pt;height:24.2pt;z-index:25282457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" filled="f" stroked="f">
                <v:textbox style="mso-fit-shape-to-text:t">
                  <w:txbxContent>
                    <w:p w14:paraId="3895F793" w14:textId="77777777" w:rsidR="00230ADA" w:rsidRDefault="00230ADA" w:rsidP="00230ADA">
                      <w:pPr>
                        <w:jc w:val="center"/>
                        <w:textAlignment w:val="baseline"/>
                        <w:rPr>
                          <w:rFonts w:ascii="Calibri Light" w:hAnsi="Calibri Light" w:cs="Calibri Light"/>
                          <w:b/>
                          <w:bCs/>
                          <w:color w:val="FFFFFF" w:themeColor="background1"/>
                          <w:spacing w:val="60"/>
                          <w:kern w:val="24"/>
                          <w:sz w:val="28"/>
                          <w:szCs w:val="28"/>
                          <w:lang w:val="en-US"/>
                        </w:rPr>
                      </w:pPr>
                      <w:r>
                        <w:rPr>
                          <w:rFonts w:ascii="Calibri Light" w:hAnsi="Calibri Light" w:cs="Calibri Light"/>
                          <w:b/>
                          <w:bCs/>
                          <w:color w:val="FFFFFF" w:themeColor="background1"/>
                          <w:spacing w:val="60"/>
                          <w:kern w:val="24"/>
                          <w:sz w:val="28"/>
                          <w:szCs w:val="28"/>
                          <w:lang w:val="en-US"/>
                        </w:rPr>
                        <w:t>www.globalfactor.com</w:t>
                      </w:r>
                    </w:p>
                  </w:txbxContent>
                </v:textbox>
                <w10:wrap anchorx="margin"/>
              </v:shape>
            </w:pict>
          </mc:Fallback>
        </mc:AlternateContent>
      </w:r>
      <w:r w:rsidRPr="00230ADA">
        <w:rPr>
          <w:rFonts w:eastAsiaTheme="minorHAnsi"/>
          <w:noProof/>
          <w:color w:val="4472C4" w:themeColor="accent1"/>
        </w:rPr>
        <w:drawing>
          <wp:anchor distT="0" distB="0" distL="114300" distR="114300" simplePos="0" relativeHeight="252829696" behindDoc="0" locked="0" layoutInCell="1" allowOverlap="1" wp14:anchorId="329D7E46" wp14:editId="074E6B16">
            <wp:simplePos x="0" y="0"/>
            <wp:positionH relativeFrom="column">
              <wp:posOffset>5517310</wp:posOffset>
            </wp:positionH>
            <wp:positionV relativeFrom="paragraph">
              <wp:posOffset>8514715</wp:posOffset>
            </wp:positionV>
            <wp:extent cx="469265" cy="230505"/>
            <wp:effectExtent l="0" t="0" r="6985" b="0"/>
            <wp:wrapNone/>
            <wp:docPr id="562067355" name="Imagen 562067355" descr="9105050718_32860.jpg">
              <a:extLst xmlns:a="http://schemas.openxmlformats.org/drawingml/2006/main">
                <a:ext uri="{FF2B5EF4-FFF2-40B4-BE49-F238E27FC236}">
                  <a16:creationId xmlns:a16="http://schemas.microsoft.com/office/drawing/2014/main" id="{654656C9-71FC-3561-6A75-43A6B2CD3E2D}"/>
                </a:ext>
              </a:extLst>
            </wp:docPr>
            <wp:cNvGraphicFramePr/>
            <a:graphic xmlns:a="http://schemas.openxmlformats.org/drawingml/2006/main">
              <a:graphicData uri="http://schemas.openxmlformats.org/drawingml/2006/picture">
                <pic:pic xmlns:pic="http://schemas.openxmlformats.org/drawingml/2006/picture">
                  <pic:nvPicPr>
                    <pic:cNvPr id="9" name="9 Imagen" descr="9105050718_32860.jpg">
                      <a:extLst>
                        <a:ext uri="{FF2B5EF4-FFF2-40B4-BE49-F238E27FC236}">
                          <a16:creationId xmlns:a16="http://schemas.microsoft.com/office/drawing/2014/main" id="{654656C9-71FC-3561-6A75-43A6B2CD3E2D}"/>
                        </a:ext>
                      </a:extLst>
                    </pic:cNvPr>
                    <pic:cNvPicPr/>
                  </pic:nvPicPr>
                  <pic:blipFill>
                    <a:blip r:embed="rId13" cstate="print"/>
                    <a:stretch>
                      <a:fillRect/>
                    </a:stretch>
                  </pic:blipFill>
                  <pic:spPr>
                    <a:xfrm>
                      <a:off x="0" y="0"/>
                      <a:ext cx="469265" cy="230505"/>
                    </a:xfrm>
                    <a:prstGeom prst="rect">
                      <a:avLst/>
                    </a:prstGeom>
                  </pic:spPr>
                </pic:pic>
              </a:graphicData>
            </a:graphic>
          </wp:anchor>
        </w:drawing>
      </w:r>
      <w:r w:rsidRPr="00230ADA">
        <w:rPr>
          <w:rFonts w:eastAsiaTheme="minorHAnsi"/>
          <w:noProof/>
          <w:color w:val="4472C4" w:themeColor="accent1"/>
        </w:rPr>
        <w:drawing>
          <wp:anchor distT="0" distB="0" distL="114300" distR="114300" simplePos="0" relativeHeight="252830720" behindDoc="0" locked="0" layoutInCell="1" allowOverlap="1" wp14:anchorId="6C77D0C6" wp14:editId="6F9BA005">
            <wp:simplePos x="0" y="0"/>
            <wp:positionH relativeFrom="column">
              <wp:posOffset>4942410</wp:posOffset>
            </wp:positionH>
            <wp:positionV relativeFrom="paragraph">
              <wp:posOffset>8514715</wp:posOffset>
            </wp:positionV>
            <wp:extent cx="469265" cy="228600"/>
            <wp:effectExtent l="0" t="0" r="6985" b="0"/>
            <wp:wrapNone/>
            <wp:docPr id="10" name="Picture 2" descr="Z:\CalidadyMedioAmbiente\Logotipos y certificados\Logotipos\Huella de Carbono.jpg">
              <a:extLst xmlns:a="http://schemas.openxmlformats.org/drawingml/2006/main">
                <a:ext uri="{FF2B5EF4-FFF2-40B4-BE49-F238E27FC236}">
                  <a16:creationId xmlns:a16="http://schemas.microsoft.com/office/drawing/2014/main" id="{14892CA3-F285-9202-0C98-F98521ADE6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2" descr="Z:\CalidadyMedioAmbiente\Logotipos y certificados\Logotipos\Huella de Carbono.jpg">
                      <a:extLst>
                        <a:ext uri="{FF2B5EF4-FFF2-40B4-BE49-F238E27FC236}">
                          <a16:creationId xmlns:a16="http://schemas.microsoft.com/office/drawing/2014/main" id="{14892CA3-F285-9202-0C98-F98521ADE64E}"/>
                        </a:ext>
                      </a:extLst>
                    </pic:cNvPr>
                    <pic:cNvPicPr>
                      <a:picLocks noChangeAspect="1" noChangeArrowheads="1"/>
                    </pic:cNvPicPr>
                  </pic:nvPicPr>
                  <pic:blipFill>
                    <a:blip r:embed="rId14" cstate="print"/>
                    <a:srcRect/>
                    <a:stretch>
                      <a:fillRect/>
                    </a:stretch>
                  </pic:blipFill>
                  <pic:spPr bwMode="auto">
                    <a:xfrm>
                      <a:off x="0" y="0"/>
                      <a:ext cx="469265" cy="228600"/>
                    </a:xfrm>
                    <a:prstGeom prst="rect">
                      <a:avLst/>
                    </a:prstGeom>
                    <a:noFill/>
                  </pic:spPr>
                </pic:pic>
              </a:graphicData>
            </a:graphic>
          </wp:anchor>
        </w:drawing>
      </w:r>
      <w:r w:rsidRPr="00230ADA">
        <w:rPr>
          <w:rFonts w:eastAsiaTheme="minorHAnsi"/>
          <w:noProof/>
          <w:color w:val="4472C4" w:themeColor="accent1"/>
        </w:rPr>
        <w:drawing>
          <wp:anchor distT="0" distB="0" distL="114300" distR="114300" simplePos="0" relativeHeight="252828672" behindDoc="0" locked="0" layoutInCell="1" allowOverlap="1" wp14:anchorId="4ED228F4" wp14:editId="3FCA4E8F">
            <wp:simplePos x="0" y="0"/>
            <wp:positionH relativeFrom="column">
              <wp:posOffset>4678311</wp:posOffset>
            </wp:positionH>
            <wp:positionV relativeFrom="paragraph">
              <wp:posOffset>8510659</wp:posOffset>
            </wp:positionV>
            <wp:extent cx="173990" cy="247015"/>
            <wp:effectExtent l="0" t="0" r="0" b="635"/>
            <wp:wrapNone/>
            <wp:docPr id="339589083" name="Imagen 339589083">
              <a:extLst xmlns:a="http://schemas.openxmlformats.org/drawingml/2006/main">
                <a:ext uri="{FF2B5EF4-FFF2-40B4-BE49-F238E27FC236}">
                  <a16:creationId xmlns:a16="http://schemas.microsoft.com/office/drawing/2014/main" id="{E1F6401A-11FE-5736-E66C-09645D5273F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51">
                      <a:extLst>
                        <a:ext uri="{FF2B5EF4-FFF2-40B4-BE49-F238E27FC236}">
                          <a16:creationId xmlns:a16="http://schemas.microsoft.com/office/drawing/2014/main" id="{E1F6401A-11FE-5736-E66C-09645D5273FB}"/>
                        </a:ext>
                      </a:extLst>
                    </pic:cNvPr>
                    <pic:cNvPicPr>
                      <a:picLocks noChangeAspect="1" noChangeArrowheads="1"/>
                    </pic:cNvPicPr>
                  </pic:nvPicPr>
                  <pic:blipFill>
                    <a:blip r:embed="rId15" cstate="print"/>
                    <a:srcRect/>
                    <a:stretch>
                      <a:fillRect/>
                    </a:stretch>
                  </pic:blipFill>
                  <pic:spPr bwMode="auto">
                    <a:xfrm>
                      <a:off x="0" y="0"/>
                      <a:ext cx="173990" cy="247015"/>
                    </a:xfrm>
                    <a:prstGeom prst="rect">
                      <a:avLst/>
                    </a:prstGeom>
                    <a:noFill/>
                    <a:ln w="9525">
                      <a:noFill/>
                      <a:miter lim="800000"/>
                      <a:headEnd/>
                      <a:tailEnd/>
                    </a:ln>
                  </pic:spPr>
                </pic:pic>
              </a:graphicData>
            </a:graphic>
          </wp:anchor>
        </w:drawing>
      </w:r>
      <w:r w:rsidRPr="00230ADA">
        <w:rPr>
          <w:rFonts w:cstheme="majorHAnsi"/>
          <w:noProof/>
          <w:color w:val="808080" w:themeColor="background1" w:themeShade="80"/>
          <w:sz w:val="28"/>
        </w:rPr>
        <w:drawing>
          <wp:anchor distT="0" distB="0" distL="114300" distR="114300" simplePos="0" relativeHeight="252825600" behindDoc="0" locked="0" layoutInCell="1" allowOverlap="1" wp14:anchorId="6070B977" wp14:editId="229BF310">
            <wp:simplePos x="0" y="0"/>
            <wp:positionH relativeFrom="column">
              <wp:posOffset>2110105</wp:posOffset>
            </wp:positionH>
            <wp:positionV relativeFrom="paragraph">
              <wp:posOffset>5401310</wp:posOffset>
            </wp:positionV>
            <wp:extent cx="2242185" cy="533400"/>
            <wp:effectExtent l="0" t="0" r="5715" b="0"/>
            <wp:wrapNone/>
            <wp:docPr id="18" name="Imagen 17" descr="Dibujo con letras blancas&#10;&#10;Descripción generada automáticamente con confianza media">
              <a:extLst xmlns:a="http://schemas.openxmlformats.org/drawingml/2006/main">
                <a:ext uri="{FF2B5EF4-FFF2-40B4-BE49-F238E27FC236}">
                  <a16:creationId xmlns:a16="http://schemas.microsoft.com/office/drawing/2014/main" id="{E583643B-4B59-E2BA-4955-0F0897188A0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7" descr="Dibujo con letras blancas&#10;&#10;Descripción generada automáticamente con confianza media">
                      <a:extLst>
                        <a:ext uri="{FF2B5EF4-FFF2-40B4-BE49-F238E27FC236}">
                          <a16:creationId xmlns:a16="http://schemas.microsoft.com/office/drawing/2014/main" id="{E583643B-4B59-E2BA-4955-0F0897188A08}"/>
                        </a:ext>
                      </a:extLst>
                    </pic:cNvPr>
                    <pic:cNvPicPr>
                      <a:picLocks noChangeAspect="1"/>
                    </pic:cNvPicPr>
                  </pic:nvPicPr>
                  <pic:blipFill>
                    <a:blip r:embed="rId16" cstate="hqprint">
                      <a:extLst>
                        <a:ext uri="{28A0092B-C50C-407E-A947-70E740481C1C}">
                          <a14:useLocalDpi xmlns:a14="http://schemas.microsoft.com/office/drawing/2010/main" val="0"/>
                        </a:ext>
                      </a:extLst>
                    </a:blip>
                    <a:srcRect/>
                    <a:stretch/>
                  </pic:blipFill>
                  <pic:spPr>
                    <a:xfrm>
                      <a:off x="0" y="0"/>
                      <a:ext cx="2242185" cy="533400"/>
                    </a:xfrm>
                    <a:prstGeom prst="rect">
                      <a:avLst/>
                    </a:prstGeom>
                  </pic:spPr>
                </pic:pic>
              </a:graphicData>
            </a:graphic>
          </wp:anchor>
        </w:drawing>
      </w:r>
    </w:p>
    <w:p w14:paraId="58A985BF" w14:textId="47A08FEE" w:rsidR="00352706" w:rsidRPr="00D11C99" w:rsidRDefault="00352706" w:rsidP="00D11C99">
      <w:pPr>
        <w:spacing w:after="0" w:line="240" w:lineRule="auto"/>
        <w:jc w:val="right"/>
        <w:rPr>
          <w:b/>
          <w:bCs/>
          <w:sz w:val="28"/>
          <w:szCs w:val="32"/>
        </w:rPr>
      </w:pPr>
      <w:bookmarkStart w:id="1" w:name="_Toc120547289"/>
    </w:p>
    <w:sdt>
      <w:sdtPr>
        <w:rPr>
          <w:rFonts w:eastAsia="SimSun" w:cstheme="minorBidi"/>
          <w:color w:val="1E3B59"/>
          <w:sz w:val="20"/>
          <w:szCs w:val="22"/>
          <w:lang w:eastAsia="en-US"/>
        </w:rPr>
        <w:id w:val="-1197306840"/>
        <w:docPartObj>
          <w:docPartGallery w:val="Table of Contents"/>
          <w:docPartUnique/>
        </w:docPartObj>
      </w:sdtPr>
      <w:sdtEndPr>
        <w:rPr>
          <w:b/>
          <w:bCs/>
          <w:color w:val="1D3C5A"/>
        </w:rPr>
      </w:sdtEndPr>
      <w:sdtContent>
        <w:p w14:paraId="105F749A" w14:textId="75BE6F5B" w:rsidR="003869D6" w:rsidRPr="00186107" w:rsidRDefault="00B7289F">
          <w:pPr>
            <w:pStyle w:val="TtuloTDC"/>
            <w:rPr>
              <w:rStyle w:val="2TitulodeseccinCar"/>
            </w:rPr>
          </w:pPr>
          <w:r w:rsidRPr="00D11C99">
            <w:rPr>
              <w:b/>
              <w:bCs/>
              <w:noProof/>
              <w:sz w:val="28"/>
            </w:rPr>
            <mc:AlternateContent>
              <mc:Choice Requires="wps">
                <w:drawing>
                  <wp:anchor distT="0" distB="0" distL="114300" distR="114300" simplePos="0" relativeHeight="252782592" behindDoc="0" locked="0" layoutInCell="1" allowOverlap="1" wp14:anchorId="453D233C" wp14:editId="452C5D52">
                    <wp:simplePos x="0" y="0"/>
                    <wp:positionH relativeFrom="leftMargin">
                      <wp:posOffset>310423</wp:posOffset>
                    </wp:positionH>
                    <wp:positionV relativeFrom="paragraph">
                      <wp:posOffset>184091</wp:posOffset>
                    </wp:positionV>
                    <wp:extent cx="180975" cy="5372100"/>
                    <wp:effectExtent l="0" t="0" r="28575" b="19050"/>
                    <wp:wrapNone/>
                    <wp:docPr id="1218829804" name="Rectángulo 1218829804"/>
                    <wp:cNvGraphicFramePr/>
                    <a:graphic xmlns:a="http://schemas.openxmlformats.org/drawingml/2006/main">
                      <a:graphicData uri="http://schemas.microsoft.com/office/word/2010/wordprocessingShape">
                        <wps:wsp>
                          <wps:cNvSpPr/>
                          <wps:spPr>
                            <a:xfrm>
                              <a:off x="0" y="0"/>
                              <a:ext cx="180975" cy="5372100"/>
                            </a:xfrm>
                            <a:prstGeom prst="rect">
                              <a:avLst/>
                            </a:prstGeom>
                            <a:solidFill>
                              <a:srgbClr val="1D3C5A"/>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C449DD" id="Rectángulo 1218829804" o:spid="_x0000_s1026" style="position:absolute;margin-left:24.45pt;margin-top:14.5pt;width:14.25pt;height:423pt;z-index:25278259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" fillcolor="#1d3c5a" strokecolor="#1f3763 [1604]" strokeweight="1pt">
                    <w10:wrap anchorx="margin"/>
                  </v:rect>
                </w:pict>
              </mc:Fallback>
            </mc:AlternateContent>
          </w:r>
          <w:r w:rsidR="003869D6" w:rsidRPr="00186107">
            <w:rPr>
              <w:rStyle w:val="2TitulodeseccinCar"/>
            </w:rPr>
            <w:t>Índice</w:t>
          </w:r>
        </w:p>
        <w:p w14:paraId="30DDC403" w14:textId="44194D12" w:rsidR="00435E18" w:rsidRDefault="004449F6">
          <w:pPr>
            <w:pStyle w:val="TDC1"/>
            <w:rPr>
              <w:rFonts w:asciiTheme="minorHAnsi" w:hAnsiTheme="minorHAnsi" w:cstheme="minorBidi"/>
              <w:b w:val="0"/>
              <w:bCs w:val="0"/>
              <w:noProof/>
              <w:color w:val="auto"/>
              <w:kern w:val="2"/>
              <w:sz w:val="24"/>
              <w:szCs w:val="24"/>
              <w:lang w:val="en-US" w:eastAsia="en-US"/>
              <w14:ligatures w14:val="standardContextual"/>
            </w:rPr>
          </w:pPr>
          <w:r>
            <w:fldChar w:fldCharType="begin"/>
          </w:r>
          <w:r>
            <w:instrText xml:space="preserve"> TOC \o "1-4" \h \z \u </w:instrText>
          </w:r>
          <w:r>
            <w:fldChar w:fldCharType="separate"/>
          </w:r>
          <w:hyperlink w:anchor="_Toc186440723" w:history="1">
            <w:r w:rsidR="00435E18" w:rsidRPr="00D207CF">
              <w:rPr>
                <w:rStyle w:val="Hipervnculo"/>
                <w:noProof/>
              </w:rPr>
              <w:t>Introducción</w:t>
            </w:r>
            <w:r w:rsidR="00435E18">
              <w:rPr>
                <w:noProof/>
                <w:webHidden/>
              </w:rPr>
              <w:tab/>
            </w:r>
            <w:r w:rsidR="00435E18">
              <w:rPr>
                <w:noProof/>
                <w:webHidden/>
              </w:rPr>
              <w:fldChar w:fldCharType="begin"/>
            </w:r>
            <w:r w:rsidR="00435E18">
              <w:rPr>
                <w:noProof/>
                <w:webHidden/>
              </w:rPr>
              <w:instrText xml:space="preserve"> PAGEREF _Toc186440723 \h </w:instrText>
            </w:r>
            <w:r w:rsidR="00435E18">
              <w:rPr>
                <w:noProof/>
                <w:webHidden/>
              </w:rPr>
            </w:r>
            <w:r w:rsidR="00435E18">
              <w:rPr>
                <w:noProof/>
                <w:webHidden/>
              </w:rPr>
              <w:fldChar w:fldCharType="separate"/>
            </w:r>
            <w:r w:rsidR="00DB6879">
              <w:rPr>
                <w:noProof/>
                <w:webHidden/>
              </w:rPr>
              <w:t>2</w:t>
            </w:r>
            <w:r w:rsidR="00435E18">
              <w:rPr>
                <w:noProof/>
                <w:webHidden/>
              </w:rPr>
              <w:fldChar w:fldCharType="end"/>
            </w:r>
          </w:hyperlink>
        </w:p>
        <w:p w14:paraId="46B578C3" w14:textId="092F495B" w:rsidR="00435E18" w:rsidRDefault="00435E18">
          <w:pPr>
            <w:pStyle w:val="TDC1"/>
            <w:tabs>
              <w:tab w:val="left" w:pos="567"/>
            </w:tabs>
            <w:rPr>
              <w:rFonts w:asciiTheme="minorHAnsi" w:hAnsiTheme="minorHAnsi" w:cstheme="minorBidi"/>
              <w:b w:val="0"/>
              <w:bCs w:val="0"/>
              <w:noProof/>
              <w:color w:val="auto"/>
              <w:kern w:val="2"/>
              <w:sz w:val="24"/>
              <w:szCs w:val="24"/>
              <w:lang w:val="en-US" w:eastAsia="en-US"/>
              <w14:ligatures w14:val="standardContextual"/>
            </w:rPr>
          </w:pPr>
          <w:hyperlink w:anchor="_Toc186440724" w:history="1">
            <w:r w:rsidRPr="00D207CF">
              <w:rPr>
                <w:rStyle w:val="Hipervnculo"/>
                <w:noProof/>
              </w:rPr>
              <w:t>1.</w:t>
            </w:r>
            <w:r>
              <w:rPr>
                <w:rFonts w:asciiTheme="minorHAnsi" w:hAnsiTheme="minorHAnsi" w:cstheme="minorBidi"/>
                <w:b w:val="0"/>
                <w:bCs w:val="0"/>
                <w:noProof/>
                <w:color w:val="auto"/>
                <w:kern w:val="2"/>
                <w:sz w:val="24"/>
                <w:szCs w:val="24"/>
                <w:lang w:val="en-US" w:eastAsia="en-US"/>
                <w14:ligatures w14:val="standardContextual"/>
              </w:rPr>
              <w:tab/>
            </w:r>
            <w:r w:rsidRPr="00D207CF">
              <w:rPr>
                <w:rStyle w:val="Hipervnculo"/>
                <w:noProof/>
              </w:rPr>
              <w:t xml:space="preserve"> Nueva normativa con mayor impacto</w:t>
            </w:r>
            <w:r>
              <w:rPr>
                <w:noProof/>
                <w:webHidden/>
              </w:rPr>
              <w:tab/>
            </w:r>
            <w:r>
              <w:rPr>
                <w:noProof/>
                <w:webHidden/>
              </w:rPr>
              <w:fldChar w:fldCharType="begin"/>
            </w:r>
            <w:r>
              <w:rPr>
                <w:noProof/>
                <w:webHidden/>
              </w:rPr>
              <w:instrText xml:space="preserve"> PAGEREF _Toc186440724 \h </w:instrText>
            </w:r>
            <w:r>
              <w:rPr>
                <w:noProof/>
                <w:webHidden/>
              </w:rPr>
            </w:r>
            <w:r>
              <w:rPr>
                <w:noProof/>
                <w:webHidden/>
              </w:rPr>
              <w:fldChar w:fldCharType="separate"/>
            </w:r>
            <w:r w:rsidR="00DB6879">
              <w:rPr>
                <w:noProof/>
                <w:webHidden/>
              </w:rPr>
              <w:t>4</w:t>
            </w:r>
            <w:r>
              <w:rPr>
                <w:noProof/>
                <w:webHidden/>
              </w:rPr>
              <w:fldChar w:fldCharType="end"/>
            </w:r>
          </w:hyperlink>
        </w:p>
        <w:p w14:paraId="3AE6AA3B" w14:textId="73423F84" w:rsidR="00435E18" w:rsidRDefault="00435E18" w:rsidP="00435E18">
          <w:pPr>
            <w:pStyle w:val="TDC2"/>
            <w:rPr>
              <w:rFonts w:asciiTheme="minorHAnsi" w:hAnsiTheme="minorHAnsi" w:cstheme="minorBidi"/>
              <w:b w:val="0"/>
              <w:noProof/>
              <w:color w:val="auto"/>
              <w:kern w:val="2"/>
              <w:sz w:val="24"/>
              <w:szCs w:val="24"/>
              <w:lang w:val="en-US" w:eastAsia="en-US"/>
              <w14:ligatures w14:val="standardContextual"/>
            </w:rPr>
          </w:pPr>
          <w:hyperlink w:anchor="_Toc186440725" w:history="1">
            <w:r w:rsidRPr="00D207CF">
              <w:rPr>
                <w:rStyle w:val="Hipervnculo"/>
                <w:noProof/>
              </w:rPr>
              <w:t>1.1.</w:t>
            </w:r>
            <w:r>
              <w:rPr>
                <w:rFonts w:asciiTheme="minorHAnsi" w:hAnsiTheme="minorHAnsi" w:cstheme="minorBidi"/>
                <w:b w:val="0"/>
                <w:noProof/>
                <w:color w:val="auto"/>
                <w:kern w:val="2"/>
                <w:sz w:val="24"/>
                <w:szCs w:val="24"/>
                <w:lang w:val="en-US" w:eastAsia="en-US"/>
                <w14:ligatures w14:val="standardContextual"/>
              </w:rPr>
              <w:tab/>
            </w:r>
            <w:r w:rsidRPr="00D207CF">
              <w:rPr>
                <w:rStyle w:val="Hipervnculo"/>
                <w:noProof/>
              </w:rPr>
              <w:t>Empresas, Administraciones portuarias, Terminales marítimas y Almacenamiento y distribución</w:t>
            </w:r>
            <w:r>
              <w:rPr>
                <w:rStyle w:val="Hipervnculo"/>
                <w:noProof/>
              </w:rPr>
              <w:t xml:space="preserve"> ……………</w:t>
            </w:r>
            <w:r>
              <w:rPr>
                <w:noProof/>
                <w:webHidden/>
              </w:rPr>
              <w:tab/>
            </w:r>
            <w:r>
              <w:rPr>
                <w:noProof/>
                <w:webHidden/>
              </w:rPr>
              <w:fldChar w:fldCharType="begin"/>
            </w:r>
            <w:r>
              <w:rPr>
                <w:noProof/>
                <w:webHidden/>
              </w:rPr>
              <w:instrText xml:space="preserve"> PAGEREF _Toc186440725 \h </w:instrText>
            </w:r>
            <w:r>
              <w:rPr>
                <w:noProof/>
                <w:webHidden/>
              </w:rPr>
            </w:r>
            <w:r>
              <w:rPr>
                <w:noProof/>
                <w:webHidden/>
              </w:rPr>
              <w:fldChar w:fldCharType="separate"/>
            </w:r>
            <w:r w:rsidR="00DB6879">
              <w:rPr>
                <w:noProof/>
                <w:webHidden/>
              </w:rPr>
              <w:t>4</w:t>
            </w:r>
            <w:r>
              <w:rPr>
                <w:noProof/>
                <w:webHidden/>
              </w:rPr>
              <w:fldChar w:fldCharType="end"/>
            </w:r>
          </w:hyperlink>
        </w:p>
        <w:p w14:paraId="3E1D67A9" w14:textId="39C50B37" w:rsidR="00435E18" w:rsidRDefault="00435E18">
          <w:pPr>
            <w:pStyle w:val="TDC2"/>
            <w:rPr>
              <w:rFonts w:asciiTheme="minorHAnsi" w:hAnsiTheme="minorHAnsi" w:cstheme="minorBidi"/>
              <w:b w:val="0"/>
              <w:noProof/>
              <w:color w:val="auto"/>
              <w:kern w:val="2"/>
              <w:sz w:val="24"/>
              <w:szCs w:val="24"/>
              <w:lang w:val="en-US" w:eastAsia="en-US"/>
              <w14:ligatures w14:val="standardContextual"/>
            </w:rPr>
          </w:pPr>
          <w:hyperlink w:anchor="_Toc186440726" w:history="1">
            <w:r w:rsidRPr="00D207CF">
              <w:rPr>
                <w:rStyle w:val="Hipervnculo"/>
                <w:noProof/>
              </w:rPr>
              <w:t>1.2.</w:t>
            </w:r>
            <w:r>
              <w:rPr>
                <w:rFonts w:asciiTheme="minorHAnsi" w:hAnsiTheme="minorHAnsi" w:cstheme="minorBidi"/>
                <w:b w:val="0"/>
                <w:noProof/>
                <w:color w:val="auto"/>
                <w:kern w:val="2"/>
                <w:sz w:val="24"/>
                <w:szCs w:val="24"/>
                <w:lang w:val="en-US" w:eastAsia="en-US"/>
                <w14:ligatures w14:val="standardContextual"/>
              </w:rPr>
              <w:tab/>
            </w:r>
            <w:r w:rsidRPr="00D207CF">
              <w:rPr>
                <w:rStyle w:val="Hipervnculo"/>
                <w:noProof/>
              </w:rPr>
              <w:t>Transporte ferroviario</w:t>
            </w:r>
            <w:r>
              <w:rPr>
                <w:noProof/>
                <w:webHidden/>
              </w:rPr>
              <w:tab/>
            </w:r>
            <w:r>
              <w:rPr>
                <w:noProof/>
                <w:webHidden/>
              </w:rPr>
              <w:fldChar w:fldCharType="begin"/>
            </w:r>
            <w:r>
              <w:rPr>
                <w:noProof/>
                <w:webHidden/>
              </w:rPr>
              <w:instrText xml:space="preserve"> PAGEREF _Toc186440726 \h </w:instrText>
            </w:r>
            <w:r>
              <w:rPr>
                <w:noProof/>
                <w:webHidden/>
              </w:rPr>
            </w:r>
            <w:r>
              <w:rPr>
                <w:noProof/>
                <w:webHidden/>
              </w:rPr>
              <w:fldChar w:fldCharType="separate"/>
            </w:r>
            <w:r w:rsidR="00DB6879">
              <w:rPr>
                <w:noProof/>
                <w:webHidden/>
              </w:rPr>
              <w:t>6</w:t>
            </w:r>
            <w:r>
              <w:rPr>
                <w:noProof/>
                <w:webHidden/>
              </w:rPr>
              <w:fldChar w:fldCharType="end"/>
            </w:r>
          </w:hyperlink>
        </w:p>
        <w:p w14:paraId="091E8A27" w14:textId="1979917A" w:rsidR="00435E18" w:rsidRDefault="00435E18">
          <w:pPr>
            <w:pStyle w:val="TDC2"/>
            <w:rPr>
              <w:rFonts w:asciiTheme="minorHAnsi" w:hAnsiTheme="minorHAnsi" w:cstheme="minorBidi"/>
              <w:b w:val="0"/>
              <w:noProof/>
              <w:color w:val="auto"/>
              <w:kern w:val="2"/>
              <w:sz w:val="24"/>
              <w:szCs w:val="24"/>
              <w:lang w:val="en-US" w:eastAsia="en-US"/>
              <w14:ligatures w14:val="standardContextual"/>
            </w:rPr>
          </w:pPr>
          <w:hyperlink w:anchor="_Toc186440727" w:history="1">
            <w:r w:rsidRPr="00D207CF">
              <w:rPr>
                <w:rStyle w:val="Hipervnculo"/>
                <w:noProof/>
              </w:rPr>
              <w:t>1.3.</w:t>
            </w:r>
            <w:r>
              <w:rPr>
                <w:rFonts w:asciiTheme="minorHAnsi" w:hAnsiTheme="minorHAnsi" w:cstheme="minorBidi"/>
                <w:b w:val="0"/>
                <w:noProof/>
                <w:color w:val="auto"/>
                <w:kern w:val="2"/>
                <w:sz w:val="24"/>
                <w:szCs w:val="24"/>
                <w:lang w:val="en-US" w:eastAsia="en-US"/>
                <w14:ligatures w14:val="standardContextual"/>
              </w:rPr>
              <w:tab/>
            </w:r>
            <w:r w:rsidRPr="00D207CF">
              <w:rPr>
                <w:rStyle w:val="Hipervnculo"/>
                <w:noProof/>
              </w:rPr>
              <w:t>Transporte aéreo</w:t>
            </w:r>
            <w:r>
              <w:rPr>
                <w:noProof/>
                <w:webHidden/>
              </w:rPr>
              <w:tab/>
            </w:r>
            <w:r>
              <w:rPr>
                <w:noProof/>
                <w:webHidden/>
              </w:rPr>
              <w:fldChar w:fldCharType="begin"/>
            </w:r>
            <w:r>
              <w:rPr>
                <w:noProof/>
                <w:webHidden/>
              </w:rPr>
              <w:instrText xml:space="preserve"> PAGEREF _Toc186440727 \h </w:instrText>
            </w:r>
            <w:r>
              <w:rPr>
                <w:noProof/>
                <w:webHidden/>
              </w:rPr>
            </w:r>
            <w:r>
              <w:rPr>
                <w:noProof/>
                <w:webHidden/>
              </w:rPr>
              <w:fldChar w:fldCharType="separate"/>
            </w:r>
            <w:r w:rsidR="00DB6879">
              <w:rPr>
                <w:noProof/>
                <w:webHidden/>
              </w:rPr>
              <w:t>7</w:t>
            </w:r>
            <w:r>
              <w:rPr>
                <w:noProof/>
                <w:webHidden/>
              </w:rPr>
              <w:fldChar w:fldCharType="end"/>
            </w:r>
          </w:hyperlink>
        </w:p>
        <w:p w14:paraId="73A69FC7" w14:textId="00E32C9E" w:rsidR="00435E18" w:rsidRDefault="00435E18">
          <w:pPr>
            <w:pStyle w:val="TDC2"/>
            <w:rPr>
              <w:rFonts w:asciiTheme="minorHAnsi" w:hAnsiTheme="minorHAnsi" w:cstheme="minorBidi"/>
              <w:b w:val="0"/>
              <w:noProof/>
              <w:color w:val="auto"/>
              <w:kern w:val="2"/>
              <w:sz w:val="24"/>
              <w:szCs w:val="24"/>
              <w:lang w:val="en-US" w:eastAsia="en-US"/>
              <w14:ligatures w14:val="standardContextual"/>
            </w:rPr>
          </w:pPr>
          <w:hyperlink w:anchor="_Toc186440728" w:history="1">
            <w:r w:rsidRPr="00D207CF">
              <w:rPr>
                <w:rStyle w:val="Hipervnculo"/>
                <w:noProof/>
              </w:rPr>
              <w:t>1.4.</w:t>
            </w:r>
            <w:r>
              <w:rPr>
                <w:rFonts w:asciiTheme="minorHAnsi" w:hAnsiTheme="minorHAnsi" w:cstheme="minorBidi"/>
                <w:b w:val="0"/>
                <w:noProof/>
                <w:color w:val="auto"/>
                <w:kern w:val="2"/>
                <w:sz w:val="24"/>
                <w:szCs w:val="24"/>
                <w:lang w:val="en-US" w:eastAsia="en-US"/>
                <w14:ligatures w14:val="standardContextual"/>
              </w:rPr>
              <w:tab/>
            </w:r>
            <w:r w:rsidRPr="00D207CF">
              <w:rPr>
                <w:rStyle w:val="Hipervnculo"/>
                <w:noProof/>
              </w:rPr>
              <w:t>Transporte por carretera</w:t>
            </w:r>
            <w:r>
              <w:rPr>
                <w:noProof/>
                <w:webHidden/>
              </w:rPr>
              <w:tab/>
            </w:r>
            <w:r>
              <w:rPr>
                <w:noProof/>
                <w:webHidden/>
              </w:rPr>
              <w:fldChar w:fldCharType="begin"/>
            </w:r>
            <w:r>
              <w:rPr>
                <w:noProof/>
                <w:webHidden/>
              </w:rPr>
              <w:instrText xml:space="preserve"> PAGEREF _Toc186440728 \h </w:instrText>
            </w:r>
            <w:r>
              <w:rPr>
                <w:noProof/>
                <w:webHidden/>
              </w:rPr>
            </w:r>
            <w:r>
              <w:rPr>
                <w:noProof/>
                <w:webHidden/>
              </w:rPr>
              <w:fldChar w:fldCharType="separate"/>
            </w:r>
            <w:r w:rsidR="00DB6879">
              <w:rPr>
                <w:noProof/>
                <w:webHidden/>
              </w:rPr>
              <w:t>7</w:t>
            </w:r>
            <w:r>
              <w:rPr>
                <w:noProof/>
                <w:webHidden/>
              </w:rPr>
              <w:fldChar w:fldCharType="end"/>
            </w:r>
          </w:hyperlink>
        </w:p>
        <w:p w14:paraId="5A4C9C8A" w14:textId="1C116874" w:rsidR="00435E18" w:rsidRDefault="00435E18">
          <w:pPr>
            <w:pStyle w:val="TDC2"/>
            <w:rPr>
              <w:rFonts w:asciiTheme="minorHAnsi" w:hAnsiTheme="minorHAnsi" w:cstheme="minorBidi"/>
              <w:b w:val="0"/>
              <w:noProof/>
              <w:color w:val="auto"/>
              <w:kern w:val="2"/>
              <w:sz w:val="24"/>
              <w:szCs w:val="24"/>
              <w:lang w:val="en-US" w:eastAsia="en-US"/>
              <w14:ligatures w14:val="standardContextual"/>
            </w:rPr>
          </w:pPr>
          <w:hyperlink w:anchor="_Toc186440729" w:history="1">
            <w:r w:rsidRPr="00D207CF">
              <w:rPr>
                <w:rStyle w:val="Hipervnculo"/>
                <w:noProof/>
              </w:rPr>
              <w:t>1.5.</w:t>
            </w:r>
            <w:r>
              <w:rPr>
                <w:rFonts w:asciiTheme="minorHAnsi" w:hAnsiTheme="minorHAnsi" w:cstheme="minorBidi"/>
                <w:b w:val="0"/>
                <w:noProof/>
                <w:color w:val="auto"/>
                <w:kern w:val="2"/>
                <w:sz w:val="24"/>
                <w:szCs w:val="24"/>
                <w:lang w:val="en-US" w:eastAsia="en-US"/>
                <w14:ligatures w14:val="standardContextual"/>
              </w:rPr>
              <w:tab/>
            </w:r>
            <w:r w:rsidRPr="00D207CF">
              <w:rPr>
                <w:rStyle w:val="Hipervnculo"/>
                <w:noProof/>
              </w:rPr>
              <w:t>Transporte marítimo</w:t>
            </w:r>
            <w:r>
              <w:rPr>
                <w:noProof/>
                <w:webHidden/>
              </w:rPr>
              <w:tab/>
            </w:r>
            <w:r>
              <w:rPr>
                <w:noProof/>
                <w:webHidden/>
              </w:rPr>
              <w:fldChar w:fldCharType="begin"/>
            </w:r>
            <w:r>
              <w:rPr>
                <w:noProof/>
                <w:webHidden/>
              </w:rPr>
              <w:instrText xml:space="preserve"> PAGEREF _Toc186440729 \h </w:instrText>
            </w:r>
            <w:r>
              <w:rPr>
                <w:noProof/>
                <w:webHidden/>
              </w:rPr>
            </w:r>
            <w:r>
              <w:rPr>
                <w:noProof/>
                <w:webHidden/>
              </w:rPr>
              <w:fldChar w:fldCharType="separate"/>
            </w:r>
            <w:r w:rsidR="00DB6879">
              <w:rPr>
                <w:noProof/>
                <w:webHidden/>
              </w:rPr>
              <w:t>8</w:t>
            </w:r>
            <w:r>
              <w:rPr>
                <w:noProof/>
                <w:webHidden/>
              </w:rPr>
              <w:fldChar w:fldCharType="end"/>
            </w:r>
          </w:hyperlink>
        </w:p>
        <w:p w14:paraId="481E2EBA" w14:textId="6C4A4276" w:rsidR="00435E18" w:rsidRDefault="00435E18">
          <w:pPr>
            <w:pStyle w:val="TDC1"/>
            <w:rPr>
              <w:rFonts w:asciiTheme="minorHAnsi" w:hAnsiTheme="minorHAnsi" w:cstheme="minorBidi"/>
              <w:b w:val="0"/>
              <w:bCs w:val="0"/>
              <w:noProof/>
              <w:color w:val="auto"/>
              <w:kern w:val="2"/>
              <w:sz w:val="24"/>
              <w:szCs w:val="24"/>
              <w:lang w:val="en-US" w:eastAsia="en-US"/>
              <w14:ligatures w14:val="standardContextual"/>
            </w:rPr>
          </w:pPr>
          <w:hyperlink w:anchor="_Toc186440730" w:history="1">
            <w:r w:rsidRPr="00D207CF">
              <w:rPr>
                <w:rStyle w:val="Hipervnculo"/>
                <w:noProof/>
              </w:rPr>
              <w:t>Anexo I: Matriz de orientación a la normativa medioambiental</w:t>
            </w:r>
            <w:r>
              <w:rPr>
                <w:noProof/>
                <w:webHidden/>
              </w:rPr>
              <w:tab/>
            </w:r>
            <w:r>
              <w:rPr>
                <w:noProof/>
                <w:webHidden/>
              </w:rPr>
              <w:fldChar w:fldCharType="begin"/>
            </w:r>
            <w:r>
              <w:rPr>
                <w:noProof/>
                <w:webHidden/>
              </w:rPr>
              <w:instrText xml:space="preserve"> PAGEREF _Toc186440730 \h </w:instrText>
            </w:r>
            <w:r>
              <w:rPr>
                <w:noProof/>
                <w:webHidden/>
              </w:rPr>
            </w:r>
            <w:r>
              <w:rPr>
                <w:noProof/>
                <w:webHidden/>
              </w:rPr>
              <w:fldChar w:fldCharType="separate"/>
            </w:r>
            <w:r w:rsidR="00DB6879">
              <w:rPr>
                <w:noProof/>
                <w:webHidden/>
              </w:rPr>
              <w:t>13</w:t>
            </w:r>
            <w:r>
              <w:rPr>
                <w:noProof/>
                <w:webHidden/>
              </w:rPr>
              <w:fldChar w:fldCharType="end"/>
            </w:r>
          </w:hyperlink>
        </w:p>
        <w:p w14:paraId="390901C0" w14:textId="48F3722E" w:rsidR="003869D6" w:rsidRDefault="004449F6" w:rsidP="00C607C1">
          <w:pPr>
            <w:spacing w:line="240" w:lineRule="auto"/>
          </w:pPr>
          <w:r>
            <w:rPr>
              <w:rFonts w:ascii="Calibri Light" w:eastAsiaTheme="minorEastAsia" w:hAnsi="Calibri Light" w:cs="Times New Roman"/>
              <w:sz w:val="22"/>
              <w:szCs w:val="40"/>
              <w:lang w:val="es-ES_tradnl" w:eastAsia="es-ES"/>
            </w:rPr>
            <w:fldChar w:fldCharType="end"/>
          </w:r>
        </w:p>
      </w:sdtContent>
    </w:sdt>
    <w:p w14:paraId="77D00A04" w14:textId="72EE7B7B" w:rsidR="004A7A31" w:rsidRDefault="00352706" w:rsidP="00435E18">
      <w:pPr>
        <w:pStyle w:val="2Titulodeseccin"/>
        <w:numPr>
          <w:ilvl w:val="0"/>
          <w:numId w:val="0"/>
        </w:numPr>
      </w:pPr>
      <w:r>
        <w:br w:type="page"/>
      </w:r>
      <w:bookmarkStart w:id="2" w:name="_Toc170202146"/>
      <w:bookmarkStart w:id="3" w:name="_Toc173317847"/>
      <w:bookmarkStart w:id="4" w:name="_Toc186440723"/>
      <w:r w:rsidR="00A862B6">
        <w:rPr>
          <w:noProof/>
          <w:color w:val="4F657D"/>
          <w:sz w:val="24"/>
          <w:szCs w:val="24"/>
        </w:rPr>
        <w:lastRenderedPageBreak/>
        <w:drawing>
          <wp:anchor distT="0" distB="0" distL="114300" distR="114300" simplePos="0" relativeHeight="252011520" behindDoc="0" locked="0" layoutInCell="1" allowOverlap="1" wp14:anchorId="3B76C3E6" wp14:editId="0431ADB9">
            <wp:simplePos x="0" y="0"/>
            <wp:positionH relativeFrom="margin">
              <wp:posOffset>9289415</wp:posOffset>
            </wp:positionH>
            <wp:positionV relativeFrom="paragraph">
              <wp:posOffset>-255905</wp:posOffset>
            </wp:positionV>
            <wp:extent cx="2493010" cy="1402715"/>
            <wp:effectExtent l="0" t="0" r="2540" b="0"/>
            <wp:wrapNone/>
            <wp:docPr id="501" name="Imagen 501" descr="Texto, Logotip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Imagen 500" descr="Texto, Logotipo&#10;&#10;Descripción generada automáticamente con confianza media"/>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493010" cy="1402715"/>
                    </a:xfrm>
                    <a:prstGeom prst="rect">
                      <a:avLst/>
                    </a:prstGeom>
                  </pic:spPr>
                </pic:pic>
              </a:graphicData>
            </a:graphic>
            <wp14:sizeRelH relativeFrom="margin">
              <wp14:pctWidth>0</wp14:pctWidth>
            </wp14:sizeRelH>
            <wp14:sizeRelV relativeFrom="margin">
              <wp14:pctHeight>0</wp14:pctHeight>
            </wp14:sizeRelV>
          </wp:anchor>
        </w:drawing>
      </w:r>
      <w:r w:rsidR="001D4384" w:rsidRPr="00BA2AAC">
        <w:rPr>
          <w:noProof/>
        </w:rPr>
        <w:drawing>
          <wp:anchor distT="0" distB="0" distL="114300" distR="114300" simplePos="0" relativeHeight="252423168" behindDoc="1" locked="0" layoutInCell="1" allowOverlap="1" wp14:anchorId="2533DD76" wp14:editId="264F8F99">
            <wp:simplePos x="0" y="0"/>
            <wp:positionH relativeFrom="column">
              <wp:posOffset>0</wp:posOffset>
            </wp:positionH>
            <wp:positionV relativeFrom="paragraph">
              <wp:posOffset>0</wp:posOffset>
            </wp:positionV>
            <wp:extent cx="15366081" cy="298590"/>
            <wp:effectExtent l="8890" t="0" r="0" b="0"/>
            <wp:wrapNone/>
            <wp:docPr id="61567" name="Imagen 3">
              <a:extLst xmlns:a="http://schemas.openxmlformats.org/drawingml/2006/main">
                <a:ext uri="{FF2B5EF4-FFF2-40B4-BE49-F238E27FC236}">
                  <a16:creationId xmlns:a16="http://schemas.microsoft.com/office/drawing/2014/main" id="{CE16FF4D-AD01-7A03-25F3-7C000E99CF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CE16FF4D-AD01-7A03-25F3-7C000E99CFCA}"/>
                        </a:ext>
                      </a:extLst>
                    </pic:cNvPr>
                    <pic:cNvPicPr>
                      <a:picLocks noChangeAspect="1"/>
                    </pic:cNvPicPr>
                  </pic:nvPicPr>
                  <pic:blipFill rotWithShape="1">
                    <a:blip r:embed="rId18" cstate="hqprint">
                      <a:extLst>
                        <a:ext uri="{28A0092B-C50C-407E-A947-70E740481C1C}">
                          <a14:useLocalDpi xmlns:a14="http://schemas.microsoft.com/office/drawing/2010/main" val="0"/>
                        </a:ext>
                      </a:extLst>
                    </a:blip>
                    <a:srcRect/>
                    <a:stretch/>
                  </pic:blipFill>
                  <pic:spPr bwMode="auto">
                    <a:xfrm rot="16200000" flipV="1">
                      <a:off x="0" y="0"/>
                      <a:ext cx="15366081" cy="298590"/>
                    </a:xfrm>
                    <a:prstGeom prst="rect">
                      <a:avLst/>
                    </a:prstGeom>
                    <a:noFill/>
                    <a:ln>
                      <a:noFill/>
                    </a:ln>
                  </pic:spPr>
                </pic:pic>
              </a:graphicData>
            </a:graphic>
            <wp14:sizeRelH relativeFrom="page">
              <wp14:pctWidth>0</wp14:pctWidth>
            </wp14:sizeRelH>
            <wp14:sizeRelV relativeFrom="page">
              <wp14:pctHeight>0</wp14:pctHeight>
            </wp14:sizeRelV>
          </wp:anchor>
        </w:drawing>
      </w:r>
      <w:r w:rsidR="008B3479">
        <w:t>Introducción</w:t>
      </w:r>
      <w:bookmarkStart w:id="5" w:name="_Hlk170200544"/>
      <w:bookmarkEnd w:id="2"/>
      <w:bookmarkEnd w:id="3"/>
      <w:bookmarkEnd w:id="4"/>
    </w:p>
    <w:bookmarkEnd w:id="5"/>
    <w:p w14:paraId="50048929" w14:textId="56FA04EE" w:rsidR="008E0BB0" w:rsidRPr="00684572" w:rsidRDefault="008E0BB0" w:rsidP="00684572">
      <w:pPr>
        <w:pStyle w:val="5GlobalFactor"/>
      </w:pPr>
      <w:r w:rsidRPr="00684572">
        <w:t xml:space="preserve">En noviembre de 2019, el Parlamento Europeo declaró la emergencia climática y pidió a la Comisión Europea que alineara todas sus propuestas con los objetivos del </w:t>
      </w:r>
      <w:r w:rsidRPr="00684572">
        <w:rPr>
          <w:b/>
          <w:bCs/>
        </w:rPr>
        <w:t>Acuerdo de París</w:t>
      </w:r>
      <w:r w:rsidRPr="00684572">
        <w:t xml:space="preserve"> con el fin de limitar el calentamiento global a 1,5 °C. El </w:t>
      </w:r>
      <w:r w:rsidRPr="00684572">
        <w:rPr>
          <w:b/>
          <w:bCs/>
        </w:rPr>
        <w:t>Pacto Verde Europeo</w:t>
      </w:r>
      <w:r w:rsidRPr="00684572">
        <w:t xml:space="preserve">, presentado el 11 de diciembre de ese mismo año, es la hoja de ruta que se utilizará en Europa para conseguir ese objetivo alcanzando la neutralidad climática en 2050. Las medidas contempladas suponen una aceleración del ritmo al que la Unión Europea (UE) quiere desplegar políticas y medidas para mitigar el impacto que la actividad económica y social </w:t>
      </w:r>
      <w:r w:rsidR="006568DF">
        <w:t>que</w:t>
      </w:r>
      <w:r w:rsidRPr="00684572">
        <w:t xml:space="preserve"> su ciudadanía genera en el clima. </w:t>
      </w:r>
    </w:p>
    <w:p w14:paraId="3D06F012" w14:textId="65E2FCAE" w:rsidR="00153742" w:rsidRPr="00684572" w:rsidRDefault="008E0BB0" w:rsidP="00684572">
      <w:pPr>
        <w:pStyle w:val="5GlobalFactor"/>
      </w:pPr>
      <w:r w:rsidRPr="00684572">
        <w:t xml:space="preserve">Dentro del paraguas del Pacto Verde Europeo, en julio de 2021 se presentó el paquete de medidas </w:t>
      </w:r>
      <w:r w:rsidRPr="00684572">
        <w:rPr>
          <w:b/>
          <w:bCs/>
        </w:rPr>
        <w:t>«</w:t>
      </w:r>
      <w:proofErr w:type="spellStart"/>
      <w:r w:rsidRPr="00684572">
        <w:rPr>
          <w:b/>
          <w:bCs/>
        </w:rPr>
        <w:t>Fit</w:t>
      </w:r>
      <w:proofErr w:type="spellEnd"/>
      <w:r w:rsidRPr="00684572">
        <w:rPr>
          <w:b/>
          <w:bCs/>
        </w:rPr>
        <w:t xml:space="preserve"> </w:t>
      </w:r>
      <w:proofErr w:type="spellStart"/>
      <w:r w:rsidRPr="00684572">
        <w:rPr>
          <w:b/>
          <w:bCs/>
        </w:rPr>
        <w:t>for</w:t>
      </w:r>
      <w:proofErr w:type="spellEnd"/>
      <w:r w:rsidRPr="00684572">
        <w:rPr>
          <w:b/>
          <w:bCs/>
        </w:rPr>
        <w:t xml:space="preserve"> 55» (Objetivo 55)</w:t>
      </w:r>
      <w:r w:rsidRPr="00684572">
        <w:t>, formado por un conjunto de propuestas encaminadas a revisar y actualizar la legislación de la UE en materia de energía y clima y poner en marcha nuevas iniciativas para garantizar que las emisiones de gases de efecto invernadero se reducen en al menos un 55% en 2030 respecto a las de 1990, en línea con el objetivo de neutralidad climática.</w:t>
      </w:r>
    </w:p>
    <w:p w14:paraId="487B8AFF" w14:textId="77777777" w:rsidR="008E0BB0" w:rsidRDefault="008E0BB0" w:rsidP="008E0BB0">
      <w:pPr>
        <w:keepNext/>
        <w:spacing w:line="360" w:lineRule="auto"/>
        <w:jc w:val="center"/>
      </w:pPr>
      <w:r>
        <w:rPr>
          <w:noProof/>
          <w:sz w:val="24"/>
          <w:szCs w:val="24"/>
        </w:rPr>
        <w:drawing>
          <wp:inline distT="0" distB="0" distL="0" distR="0" wp14:anchorId="6CDD7C1A" wp14:editId="0F0BA4BE">
            <wp:extent cx="3529965" cy="3462655"/>
            <wp:effectExtent l="0" t="0" r="0" b="4445"/>
            <wp:docPr id="824383957"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529965" cy="3462655"/>
                    </a:xfrm>
                    <a:prstGeom prst="rect">
                      <a:avLst/>
                    </a:prstGeom>
                    <a:noFill/>
                  </pic:spPr>
                </pic:pic>
              </a:graphicData>
            </a:graphic>
          </wp:inline>
        </w:drawing>
      </w:r>
    </w:p>
    <w:p w14:paraId="7FCE03E0" w14:textId="64F1FABD" w:rsidR="008E0BB0" w:rsidRPr="008E0BB0" w:rsidRDefault="008E0BB0" w:rsidP="008E0BB0">
      <w:pPr>
        <w:pStyle w:val="Descripcin"/>
        <w:spacing w:after="0"/>
        <w:jc w:val="right"/>
        <w:rPr>
          <w:rFonts w:asciiTheme="majorHAnsi" w:hAnsiTheme="majorHAnsi"/>
          <w:color w:val="1D3C5A"/>
        </w:rPr>
      </w:pPr>
      <w:r w:rsidRPr="008E0BB0">
        <w:rPr>
          <w:rFonts w:asciiTheme="majorHAnsi" w:hAnsiTheme="majorHAnsi"/>
          <w:color w:val="1D3C5A"/>
        </w:rPr>
        <w:t xml:space="preserve">Figura </w:t>
      </w:r>
      <w:r w:rsidRPr="008E0BB0">
        <w:rPr>
          <w:rFonts w:asciiTheme="majorHAnsi" w:hAnsiTheme="majorHAnsi"/>
          <w:color w:val="1D3C5A"/>
        </w:rPr>
        <w:fldChar w:fldCharType="begin"/>
      </w:r>
      <w:r w:rsidRPr="008E0BB0">
        <w:rPr>
          <w:rFonts w:asciiTheme="majorHAnsi" w:hAnsiTheme="majorHAnsi"/>
          <w:color w:val="1D3C5A"/>
        </w:rPr>
        <w:instrText xml:space="preserve"> SEQ Figura \* ARABIC </w:instrText>
      </w:r>
      <w:r w:rsidRPr="008E0BB0">
        <w:rPr>
          <w:rFonts w:asciiTheme="majorHAnsi" w:hAnsiTheme="majorHAnsi"/>
          <w:color w:val="1D3C5A"/>
        </w:rPr>
        <w:fldChar w:fldCharType="separate"/>
      </w:r>
      <w:r w:rsidR="00DB6879">
        <w:rPr>
          <w:rFonts w:asciiTheme="majorHAnsi" w:hAnsiTheme="majorHAnsi"/>
          <w:noProof/>
          <w:color w:val="1D3C5A"/>
        </w:rPr>
        <w:t>1</w:t>
      </w:r>
      <w:r w:rsidRPr="008E0BB0">
        <w:rPr>
          <w:rFonts w:asciiTheme="majorHAnsi" w:hAnsiTheme="majorHAnsi"/>
          <w:color w:val="1D3C5A"/>
        </w:rPr>
        <w:fldChar w:fldCharType="end"/>
      </w:r>
      <w:r w:rsidRPr="008E0BB0">
        <w:rPr>
          <w:rFonts w:asciiTheme="majorHAnsi" w:hAnsiTheme="majorHAnsi"/>
          <w:color w:val="1D3C5A"/>
        </w:rPr>
        <w:t xml:space="preserve">. Componentes del paquete </w:t>
      </w:r>
      <w:proofErr w:type="spellStart"/>
      <w:r w:rsidRPr="008E0BB0">
        <w:rPr>
          <w:rFonts w:asciiTheme="majorHAnsi" w:hAnsiTheme="majorHAnsi"/>
          <w:color w:val="1D3C5A"/>
        </w:rPr>
        <w:t>Fit</w:t>
      </w:r>
      <w:proofErr w:type="spellEnd"/>
      <w:r w:rsidRPr="008E0BB0">
        <w:rPr>
          <w:rFonts w:asciiTheme="majorHAnsi" w:hAnsiTheme="majorHAnsi"/>
          <w:color w:val="1D3C5A"/>
        </w:rPr>
        <w:t xml:space="preserve"> </w:t>
      </w:r>
      <w:proofErr w:type="spellStart"/>
      <w:r w:rsidRPr="008E0BB0">
        <w:rPr>
          <w:rFonts w:asciiTheme="majorHAnsi" w:hAnsiTheme="majorHAnsi"/>
          <w:color w:val="1D3C5A"/>
        </w:rPr>
        <w:t>for</w:t>
      </w:r>
      <w:proofErr w:type="spellEnd"/>
      <w:r w:rsidRPr="008E0BB0">
        <w:rPr>
          <w:rFonts w:asciiTheme="majorHAnsi" w:hAnsiTheme="majorHAnsi"/>
          <w:color w:val="1D3C5A"/>
        </w:rPr>
        <w:t xml:space="preserve"> 55. </w:t>
      </w:r>
    </w:p>
    <w:p w14:paraId="4690377F" w14:textId="73BB9EF5" w:rsidR="008E0BB0" w:rsidRDefault="008E0BB0" w:rsidP="008E0BB0">
      <w:pPr>
        <w:pStyle w:val="Descripcin"/>
        <w:jc w:val="right"/>
        <w:rPr>
          <w:rFonts w:asciiTheme="majorHAnsi" w:hAnsiTheme="majorHAnsi"/>
          <w:b w:val="0"/>
          <w:bCs w:val="0"/>
          <w:i/>
          <w:iCs/>
          <w:color w:val="1D3C5A"/>
        </w:rPr>
      </w:pPr>
      <w:r w:rsidRPr="008E0BB0">
        <w:rPr>
          <w:rFonts w:asciiTheme="majorHAnsi" w:hAnsiTheme="majorHAnsi"/>
          <w:b w:val="0"/>
          <w:bCs w:val="0"/>
          <w:i/>
          <w:iCs/>
          <w:color w:val="1D3C5A"/>
        </w:rPr>
        <w:t>Fuente: Consejo de la Unión Europea (2021).</w:t>
      </w:r>
    </w:p>
    <w:p w14:paraId="1A5428AB" w14:textId="3CFABEB3" w:rsidR="00684572" w:rsidRPr="00684572" w:rsidRDefault="00684572" w:rsidP="00684572">
      <w:pPr>
        <w:pStyle w:val="5GlobalFactor"/>
      </w:pPr>
      <w:r w:rsidRPr="00684572">
        <w:t xml:space="preserve">Además, el estallido de la guerra en Ucrania puso de manifiesto la dependencia que la UE tiene de recursos energéticos foráneos, por lo que la Comisión presentó, en marzo de 2023, el </w:t>
      </w:r>
      <w:r w:rsidRPr="00684572">
        <w:rPr>
          <w:b/>
          <w:bCs/>
        </w:rPr>
        <w:t xml:space="preserve">Plan </w:t>
      </w:r>
      <w:proofErr w:type="spellStart"/>
      <w:r w:rsidRPr="00684572">
        <w:rPr>
          <w:b/>
          <w:bCs/>
        </w:rPr>
        <w:t>REPowerEU</w:t>
      </w:r>
      <w:proofErr w:type="spellEnd"/>
      <w:r w:rsidRPr="00684572">
        <w:rPr>
          <w:b/>
          <w:bCs/>
        </w:rPr>
        <w:t xml:space="preserve"> </w:t>
      </w:r>
      <w:r w:rsidRPr="00684572">
        <w:t xml:space="preserve">  para</w:t>
      </w:r>
    </w:p>
    <w:p w14:paraId="687A6410" w14:textId="77777777" w:rsidR="00684572" w:rsidRDefault="00684572" w:rsidP="0089303E">
      <w:pPr>
        <w:pStyle w:val="5GlobalFactor"/>
        <w:numPr>
          <w:ilvl w:val="0"/>
          <w:numId w:val="27"/>
        </w:numPr>
        <w:spacing w:line="276" w:lineRule="auto"/>
      </w:pPr>
      <w:r>
        <w:t>ahorrar energía,</w:t>
      </w:r>
    </w:p>
    <w:p w14:paraId="77C20F8F" w14:textId="77777777" w:rsidR="00684572" w:rsidRDefault="00684572" w:rsidP="0089303E">
      <w:pPr>
        <w:pStyle w:val="5GlobalFactor"/>
        <w:numPr>
          <w:ilvl w:val="0"/>
          <w:numId w:val="27"/>
        </w:numPr>
        <w:spacing w:line="276" w:lineRule="auto"/>
      </w:pPr>
      <w:r>
        <w:t>producir energía limpia y</w:t>
      </w:r>
    </w:p>
    <w:p w14:paraId="05469358" w14:textId="7628012D" w:rsidR="00684572" w:rsidRDefault="00684572" w:rsidP="0089303E">
      <w:pPr>
        <w:pStyle w:val="5GlobalFactor"/>
        <w:numPr>
          <w:ilvl w:val="0"/>
          <w:numId w:val="27"/>
        </w:numPr>
        <w:spacing w:line="276" w:lineRule="auto"/>
      </w:pPr>
      <w:r>
        <w:t>diversificar los suministros de energía.</w:t>
      </w:r>
    </w:p>
    <w:p w14:paraId="099A3566" w14:textId="7F8F50E3" w:rsidR="00684572" w:rsidRPr="00684572" w:rsidRDefault="00684572" w:rsidP="00684572">
      <w:pPr>
        <w:pStyle w:val="5GlobalFactor"/>
      </w:pPr>
      <w:r w:rsidRPr="00684572">
        <w:lastRenderedPageBreak/>
        <w:t>Este Plan acelera drásticamente la transición hacia una energía limpia y hacia la independencia energética de Europa de los combustibles fósiles rusos, especialmente el gas.</w:t>
      </w:r>
    </w:p>
    <w:p w14:paraId="2EEF031F" w14:textId="7773E153" w:rsidR="00684572" w:rsidRDefault="00684572" w:rsidP="00684572">
      <w:pPr>
        <w:pStyle w:val="5GlobalFactor"/>
      </w:pPr>
      <w:r w:rsidRPr="00684572">
        <w:t xml:space="preserve">En este contexto, </w:t>
      </w:r>
      <w:r>
        <w:t xml:space="preserve">la </w:t>
      </w:r>
      <w:r w:rsidRPr="00F0600E">
        <w:rPr>
          <w:b/>
          <w:bCs/>
        </w:rPr>
        <w:t>Federación de Logística y Movilidad del País Vasco</w:t>
      </w:r>
      <w:r w:rsidR="00E47E94" w:rsidRPr="00F0600E">
        <w:rPr>
          <w:b/>
          <w:bCs/>
        </w:rPr>
        <w:t xml:space="preserve"> (BCLM)</w:t>
      </w:r>
      <w:r>
        <w:t xml:space="preserve"> </w:t>
      </w:r>
      <w:r w:rsidR="00E47E94">
        <w:t xml:space="preserve">contrató el pasado año 2023 los servicio de Global Factor para </w:t>
      </w:r>
      <w:r w:rsidR="00E47E94" w:rsidRPr="00E47E94">
        <w:t>transmitir a las empresas vinculadas dentro de la Federación una visión general de la normativa que les pueda resultar de aplicación</w:t>
      </w:r>
      <w:r w:rsidR="00E47E94">
        <w:t>, a través de la elaboración de un informe y una herramienta matricial.</w:t>
      </w:r>
    </w:p>
    <w:p w14:paraId="178EA962" w14:textId="198A47E8" w:rsidR="00F0600E" w:rsidRDefault="00E47E94" w:rsidP="00684572">
      <w:pPr>
        <w:pStyle w:val="5GlobalFactor"/>
      </w:pPr>
      <w:r>
        <w:t>Con el objetivo de dar continuidad a este servicio, el BCLM</w:t>
      </w:r>
      <w:r w:rsidR="00F0600E">
        <w:t xml:space="preserve"> ha contratado de nuevo los servicios de Global Factor para que sus integrantes estén actualizados de las novedades normativas en materia de medio ambiente, tanto de </w:t>
      </w:r>
      <w:r w:rsidR="00F0600E" w:rsidRPr="006568DF">
        <w:rPr>
          <w:b/>
          <w:bCs/>
        </w:rPr>
        <w:t>ámbito europeo como estatal</w:t>
      </w:r>
      <w:r w:rsidR="00F0600E">
        <w:t>, y que les aplique directa o indirectamente.</w:t>
      </w:r>
    </w:p>
    <w:p w14:paraId="25F7882A" w14:textId="403005BD" w:rsidR="00F0600E" w:rsidRDefault="00F0600E" w:rsidP="00684572">
      <w:pPr>
        <w:pStyle w:val="5GlobalFactor"/>
      </w:pPr>
      <w:r>
        <w:t>En particular, el servicio prestado por Global Factor ha consistido en:</w:t>
      </w:r>
    </w:p>
    <w:p w14:paraId="5EFC5679" w14:textId="54225BB6" w:rsidR="00F0600E" w:rsidRDefault="00F0600E" w:rsidP="0089303E">
      <w:pPr>
        <w:pStyle w:val="5GlobalFactor"/>
        <w:numPr>
          <w:ilvl w:val="0"/>
          <w:numId w:val="28"/>
        </w:numPr>
      </w:pPr>
      <w:r>
        <w:t xml:space="preserve">Poner en marcha un </w:t>
      </w:r>
      <w:r w:rsidRPr="00F0600E">
        <w:rPr>
          <w:b/>
          <w:bCs/>
        </w:rPr>
        <w:t xml:space="preserve">Sistema de </w:t>
      </w:r>
      <w:r>
        <w:rPr>
          <w:b/>
          <w:bCs/>
        </w:rPr>
        <w:t>a</w:t>
      </w:r>
      <w:r w:rsidRPr="00F0600E">
        <w:rPr>
          <w:b/>
          <w:bCs/>
        </w:rPr>
        <w:t>lertas bimensual</w:t>
      </w:r>
      <w:r>
        <w:t>, a través del cual se han hecho llegar mediante correo electrónico a los miembros de la Federación las principales novedades de los últimos 15 días.</w:t>
      </w:r>
    </w:p>
    <w:p w14:paraId="277286A9" w14:textId="1CC9C476" w:rsidR="00F0600E" w:rsidRDefault="00F0600E" w:rsidP="0089303E">
      <w:pPr>
        <w:pStyle w:val="5GlobalFactor"/>
        <w:numPr>
          <w:ilvl w:val="0"/>
          <w:numId w:val="28"/>
        </w:numPr>
      </w:pPr>
      <w:r>
        <w:t xml:space="preserve">Elaborar un </w:t>
      </w:r>
      <w:r w:rsidRPr="00F0600E">
        <w:rPr>
          <w:b/>
          <w:bCs/>
        </w:rPr>
        <w:t xml:space="preserve">Informe </w:t>
      </w:r>
      <w:r w:rsidR="006568DF">
        <w:rPr>
          <w:b/>
          <w:bCs/>
        </w:rPr>
        <w:t>recopilatorio</w:t>
      </w:r>
      <w:r w:rsidRPr="00F0600E">
        <w:rPr>
          <w:b/>
          <w:bCs/>
        </w:rPr>
        <w:t xml:space="preserve"> semestral</w:t>
      </w:r>
      <w:r>
        <w:t xml:space="preserve"> con las normativas más relevantes identificadas en el Sistema de alertas bimensual, junto con la </w:t>
      </w:r>
      <w:r w:rsidRPr="00F0600E">
        <w:rPr>
          <w:b/>
          <w:bCs/>
        </w:rPr>
        <w:t>actualización de la herramienta matricial</w:t>
      </w:r>
      <w:r>
        <w:t xml:space="preserve"> creada en el marco de los servicios prestados en 2023.</w:t>
      </w:r>
    </w:p>
    <w:p w14:paraId="2CE0BDFC" w14:textId="6911E857" w:rsidR="00F0600E" w:rsidRPr="00684572" w:rsidRDefault="00F0600E" w:rsidP="00F0600E">
      <w:pPr>
        <w:pStyle w:val="5GlobalFactor"/>
      </w:pPr>
      <w:r>
        <w:t xml:space="preserve">Por tanto, el presente informe y la herramienta matricial anexada </w:t>
      </w:r>
      <w:r w:rsidR="00B76D07">
        <w:t xml:space="preserve">constituyen la segunda parte de los servicios incluidos en este proyecto. </w:t>
      </w:r>
    </w:p>
    <w:p w14:paraId="70B5D8A1" w14:textId="62DCB794" w:rsidR="00536266" w:rsidRPr="00B24198" w:rsidRDefault="00536266" w:rsidP="008E0BB0">
      <w:pPr>
        <w:spacing w:line="360" w:lineRule="auto"/>
        <w:jc w:val="center"/>
        <w:rPr>
          <w:rFonts w:ascii="Averta ExtraBold" w:eastAsiaTheme="majorEastAsia" w:hAnsi="Averta ExtraBold" w:cs="Averta ExtraBold"/>
          <w:b/>
          <w:bCs/>
          <w:sz w:val="24"/>
          <w:szCs w:val="24"/>
          <w:lang w:val="es-ES_tradnl"/>
        </w:rPr>
      </w:pPr>
      <w:r w:rsidRPr="00B24198">
        <w:rPr>
          <w:sz w:val="24"/>
          <w:szCs w:val="24"/>
        </w:rPr>
        <w:br w:type="page"/>
      </w:r>
    </w:p>
    <w:p w14:paraId="793E8D7B" w14:textId="0A0DD3F0" w:rsidR="00764153" w:rsidRDefault="00394CEA" w:rsidP="00D00259">
      <w:pPr>
        <w:pStyle w:val="2Titulodeseccin"/>
      </w:pPr>
      <w:bookmarkStart w:id="6" w:name="_Toc170202147"/>
      <w:bookmarkStart w:id="7" w:name="_Toc173317848"/>
      <w:bookmarkStart w:id="8" w:name="_Toc186440724"/>
      <w:r w:rsidRPr="00C24DD5">
        <w:rPr>
          <w:noProof/>
        </w:rPr>
        <w:lastRenderedPageBreak/>
        <w:drawing>
          <wp:anchor distT="0" distB="0" distL="114300" distR="114300" simplePos="0" relativeHeight="251944960" behindDoc="0" locked="0" layoutInCell="1" allowOverlap="1" wp14:anchorId="4C2F994A" wp14:editId="41BA431A">
            <wp:simplePos x="0" y="0"/>
            <wp:positionH relativeFrom="margin">
              <wp:posOffset>-4293235</wp:posOffset>
            </wp:positionH>
            <wp:positionV relativeFrom="paragraph">
              <wp:posOffset>-2830195</wp:posOffset>
            </wp:positionV>
            <wp:extent cx="2443480" cy="1374140"/>
            <wp:effectExtent l="0" t="0" r="0" b="0"/>
            <wp:wrapNone/>
            <wp:docPr id="1042" name="Imagen 1042" descr="Texto, Logotip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n 44" descr="Texto, Logotipo&#10;&#10;Descripción generada automáticamente con confianza media"/>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443480" cy="1374140"/>
                    </a:xfrm>
                    <a:prstGeom prst="rect">
                      <a:avLst/>
                    </a:prstGeom>
                  </pic:spPr>
                </pic:pic>
              </a:graphicData>
            </a:graphic>
            <wp14:sizeRelH relativeFrom="margin">
              <wp14:pctWidth>0</wp14:pctWidth>
            </wp14:sizeRelH>
            <wp14:sizeRelV relativeFrom="margin">
              <wp14:pctHeight>0</wp14:pctHeight>
            </wp14:sizeRelV>
          </wp:anchor>
        </w:drawing>
      </w:r>
      <w:bookmarkEnd w:id="6"/>
      <w:bookmarkEnd w:id="7"/>
      <w:r w:rsidR="00DF316C">
        <w:t xml:space="preserve"> N</w:t>
      </w:r>
      <w:r w:rsidR="00FA3C3A">
        <w:t>ueva normativa con mayor impacto</w:t>
      </w:r>
      <w:bookmarkEnd w:id="8"/>
    </w:p>
    <w:bookmarkEnd w:id="1"/>
    <w:p w14:paraId="465266DF" w14:textId="01E6249D" w:rsidR="00D11C99" w:rsidRDefault="00FA3C3A" w:rsidP="00684572">
      <w:pPr>
        <w:pStyle w:val="5GlobalFactor"/>
        <w:rPr>
          <w:lang w:val="es-ES_tradnl" w:eastAsia="es-ES"/>
        </w:rPr>
      </w:pPr>
      <w:r>
        <w:rPr>
          <w:lang w:val="es-ES_tradnl" w:eastAsia="es-ES"/>
        </w:rPr>
        <w:t xml:space="preserve">En esta sección se </w:t>
      </w:r>
      <w:r w:rsidR="00A93B77">
        <w:rPr>
          <w:lang w:val="es-ES_tradnl" w:eastAsia="es-ES"/>
        </w:rPr>
        <w:t>recoge</w:t>
      </w:r>
      <w:r>
        <w:rPr>
          <w:lang w:val="es-ES_tradnl" w:eastAsia="es-ES"/>
        </w:rPr>
        <w:t xml:space="preserve"> la nueva normativa</w:t>
      </w:r>
      <w:r w:rsidR="006568DF">
        <w:rPr>
          <w:lang w:val="es-ES_tradnl" w:eastAsia="es-ES"/>
        </w:rPr>
        <w:t xml:space="preserve"> más relevante</w:t>
      </w:r>
      <w:r>
        <w:rPr>
          <w:lang w:val="es-ES_tradnl" w:eastAsia="es-ES"/>
        </w:rPr>
        <w:t xml:space="preserve"> que ha sido identificada en los envíos quincenales del boletín informativo, desde el 19 de julio de 2024 (primer envío) hasta el 19 de diciembre de 2024 (último envío), y que se considera de mayor impacto para los miembros del BCLM.</w:t>
      </w:r>
    </w:p>
    <w:p w14:paraId="4ABE3FCD" w14:textId="5F9DCA59" w:rsidR="00FA3C3A" w:rsidRDefault="00FA3C3A" w:rsidP="00684572">
      <w:pPr>
        <w:pStyle w:val="5GlobalFactor"/>
        <w:rPr>
          <w:lang w:val="es-ES_tradnl" w:eastAsia="es-ES"/>
        </w:rPr>
      </w:pPr>
      <w:r>
        <w:rPr>
          <w:lang w:val="es-ES_tradnl" w:eastAsia="es-ES"/>
        </w:rPr>
        <w:t>De igual manera que se estructuró el Informe del servicio de 2023 y se ha estructurado el boletín informativo quincenal, la normativa se ha clasificado según las actividades de los miembros de la federación.</w:t>
      </w:r>
    </w:p>
    <w:p w14:paraId="4A196907" w14:textId="083C4C09" w:rsidR="001B41F5" w:rsidRDefault="001B41F5" w:rsidP="00684572">
      <w:pPr>
        <w:pStyle w:val="5GlobalFactor"/>
        <w:rPr>
          <w:lang w:val="es-ES_tradnl" w:eastAsia="es-ES"/>
        </w:rPr>
      </w:pPr>
      <w:r>
        <w:rPr>
          <w:lang w:val="es-ES_tradnl" w:eastAsia="es-ES"/>
        </w:rPr>
        <w:t xml:space="preserve">Asimismo, se mantiene el código de colores empleado en el boletín informativo, de tal manera que se destaca en </w:t>
      </w:r>
      <w:r w:rsidRPr="001B41F5">
        <w:rPr>
          <w:b/>
          <w:bCs/>
          <w:lang w:val="es-ES_tradnl" w:eastAsia="es-ES"/>
        </w:rPr>
        <w:t>azul</w:t>
      </w:r>
      <w:r>
        <w:rPr>
          <w:lang w:val="es-ES_tradnl" w:eastAsia="es-ES"/>
        </w:rPr>
        <w:t xml:space="preserve"> la normativa que ya estaba en el informe previo y que ha sido actualizada</w:t>
      </w:r>
      <w:r w:rsidR="00B7289F">
        <w:rPr>
          <w:lang w:val="es-ES_tradnl" w:eastAsia="es-ES"/>
        </w:rPr>
        <w:t xml:space="preserve"> o ampliada</w:t>
      </w:r>
      <w:r>
        <w:rPr>
          <w:lang w:val="es-ES_tradnl" w:eastAsia="es-ES"/>
        </w:rPr>
        <w:t xml:space="preserve">, en </w:t>
      </w:r>
      <w:r w:rsidRPr="001B41F5">
        <w:rPr>
          <w:b/>
          <w:bCs/>
          <w:color w:val="C45911" w:themeColor="accent2" w:themeShade="BF"/>
          <w:lang w:val="es-ES_tradnl" w:eastAsia="es-ES"/>
        </w:rPr>
        <w:t>naranja</w:t>
      </w:r>
      <w:r w:rsidRPr="001B41F5">
        <w:rPr>
          <w:color w:val="C45911" w:themeColor="accent2" w:themeShade="BF"/>
          <w:lang w:val="es-ES_tradnl" w:eastAsia="es-ES"/>
        </w:rPr>
        <w:t xml:space="preserve"> </w:t>
      </w:r>
      <w:r>
        <w:rPr>
          <w:lang w:val="es-ES_tradnl" w:eastAsia="es-ES"/>
        </w:rPr>
        <w:t>la normativa que actualiza</w:t>
      </w:r>
      <w:r w:rsidR="008A43B8">
        <w:rPr>
          <w:lang w:val="es-ES_tradnl" w:eastAsia="es-ES"/>
        </w:rPr>
        <w:t xml:space="preserve"> o amplia normativa ya recogida</w:t>
      </w:r>
      <w:r w:rsidR="006568DF">
        <w:rPr>
          <w:lang w:val="es-ES_tradnl" w:eastAsia="es-ES"/>
        </w:rPr>
        <w:t xml:space="preserve"> en el informe de 2023</w:t>
      </w:r>
      <w:r>
        <w:rPr>
          <w:lang w:val="es-ES_tradnl" w:eastAsia="es-ES"/>
        </w:rPr>
        <w:t xml:space="preserve"> y en </w:t>
      </w:r>
      <w:r w:rsidRPr="001B41F5">
        <w:rPr>
          <w:b/>
          <w:bCs/>
          <w:color w:val="25775E"/>
          <w:lang w:val="es-ES_tradnl" w:eastAsia="es-ES"/>
        </w:rPr>
        <w:t>verde</w:t>
      </w:r>
      <w:r>
        <w:rPr>
          <w:lang w:val="es-ES_tradnl" w:eastAsia="es-ES"/>
        </w:rPr>
        <w:t xml:space="preserve"> la nueva normativa </w:t>
      </w:r>
      <w:r w:rsidR="006568DF">
        <w:rPr>
          <w:lang w:val="es-ES_tradnl" w:eastAsia="es-ES"/>
        </w:rPr>
        <w:t>identificada</w:t>
      </w:r>
      <w:r>
        <w:rPr>
          <w:lang w:val="es-ES_tradnl" w:eastAsia="es-ES"/>
        </w:rPr>
        <w:t>.</w:t>
      </w:r>
    </w:p>
    <w:p w14:paraId="210F4D61" w14:textId="6842E9AB" w:rsidR="00FA3C3A" w:rsidRDefault="00FA3C3A" w:rsidP="00FA3C3A">
      <w:pPr>
        <w:pStyle w:val="3Subttulo"/>
      </w:pPr>
      <w:bookmarkStart w:id="9" w:name="_Toc186440725"/>
      <w:r>
        <w:t>Empresas, Admin</w:t>
      </w:r>
      <w:r w:rsidRPr="001B41F5">
        <w:t>istra</w:t>
      </w:r>
      <w:r>
        <w:t>ciones portuarias, Terminales marítimas y Almacenamiento y distribución</w:t>
      </w:r>
      <w:bookmarkEnd w:id="9"/>
    </w:p>
    <w:tbl>
      <w:tblPr>
        <w:tblStyle w:val="Tablaconcuadrcula"/>
        <w:tblW w:w="0" w:type="auto"/>
        <w:tblCellMar>
          <w:top w:w="170" w:type="dxa"/>
          <w:bottom w:w="85" w:type="dxa"/>
        </w:tblCellMar>
        <w:tblLook w:val="04A0" w:firstRow="1" w:lastRow="0" w:firstColumn="1" w:lastColumn="0" w:noHBand="0" w:noVBand="1"/>
      </w:tblPr>
      <w:tblGrid>
        <w:gridCol w:w="9040"/>
      </w:tblGrid>
      <w:tr w:rsidR="001B41F5" w14:paraId="4798FE70" w14:textId="77777777" w:rsidTr="001B41F5">
        <w:tc>
          <w:tcPr>
            <w:tcW w:w="9060" w:type="dxa"/>
            <w:tcBorders>
              <w:top w:val="dotDash" w:sz="12" w:space="0" w:color="1D3C5A"/>
              <w:left w:val="dotDash" w:sz="12" w:space="0" w:color="1D3C5A"/>
              <w:bottom w:val="dotDash" w:sz="12" w:space="0" w:color="1D3C5A"/>
              <w:right w:val="dotDash" w:sz="12" w:space="0" w:color="1D3C5A"/>
            </w:tcBorders>
            <w:vAlign w:val="center"/>
          </w:tcPr>
          <w:p w14:paraId="77223B85" w14:textId="04BCA296" w:rsidR="001B41F5" w:rsidRPr="001B41F5" w:rsidRDefault="001B41F5" w:rsidP="00002BC2">
            <w:pPr>
              <w:pStyle w:val="5GlobalFactor"/>
              <w:numPr>
                <w:ilvl w:val="0"/>
                <w:numId w:val="71"/>
              </w:numPr>
              <w:jc w:val="left"/>
              <w:rPr>
                <w:b/>
                <w:bCs/>
                <w:lang w:val="es-ES_tradnl" w:eastAsia="es-ES"/>
              </w:rPr>
            </w:pPr>
            <w:bookmarkStart w:id="10" w:name="_Hlk186110005"/>
            <w:r w:rsidRPr="001B41F5">
              <w:rPr>
                <w:b/>
                <w:bCs/>
                <w:lang w:val="es-ES_tradnl" w:eastAsia="es-ES"/>
              </w:rPr>
              <w:t>Mecanismo de Ajuste en Frontera por Carbono</w:t>
            </w:r>
            <w:r w:rsidR="008F250B">
              <w:rPr>
                <w:b/>
                <w:bCs/>
                <w:lang w:val="es-ES_tradnl" w:eastAsia="es-ES"/>
              </w:rPr>
              <w:t xml:space="preserve"> (CBAM)</w:t>
            </w:r>
          </w:p>
          <w:p w14:paraId="42FC9734" w14:textId="7A99243C" w:rsidR="00F81D0E" w:rsidRPr="00F81D0E" w:rsidRDefault="001B41F5" w:rsidP="00002BC2">
            <w:pPr>
              <w:pStyle w:val="5GlobalFactor"/>
              <w:numPr>
                <w:ilvl w:val="1"/>
                <w:numId w:val="71"/>
              </w:numPr>
              <w:jc w:val="left"/>
              <w:rPr>
                <w:b/>
                <w:bCs/>
                <w:lang w:val="es-ES_tradnl" w:eastAsia="es-ES"/>
              </w:rPr>
            </w:pPr>
            <w:bookmarkStart w:id="11" w:name="_Hlk186110546"/>
            <w:r w:rsidRPr="001B41F5">
              <w:rPr>
                <w:b/>
                <w:bCs/>
                <w:color w:val="C45911" w:themeColor="accent2" w:themeShade="BF"/>
                <w:lang w:val="es-ES_tradnl" w:eastAsia="es-ES"/>
              </w:rPr>
              <w:t>Reglamento de Ejecución (UE) 2023/1773</w:t>
            </w:r>
            <w:bookmarkEnd w:id="11"/>
          </w:p>
          <w:p w14:paraId="1C2DC78B" w14:textId="321BA963" w:rsidR="001B41F5" w:rsidRDefault="001B41F5" w:rsidP="00002BC2">
            <w:pPr>
              <w:pStyle w:val="5GlobalFactor"/>
              <w:numPr>
                <w:ilvl w:val="0"/>
                <w:numId w:val="71"/>
              </w:numPr>
              <w:jc w:val="left"/>
              <w:rPr>
                <w:b/>
                <w:bCs/>
                <w:lang w:val="es-ES_tradnl" w:eastAsia="es-ES"/>
              </w:rPr>
            </w:pPr>
            <w:r w:rsidRPr="001B41F5">
              <w:rPr>
                <w:b/>
                <w:bCs/>
                <w:lang w:val="es-ES_tradnl" w:eastAsia="es-ES"/>
              </w:rPr>
              <w:t>Directiva (UE) 2018/2001 relativa al fomento del uso de energía procedente de fuentes renovables</w:t>
            </w:r>
            <w:r w:rsidR="002B4469">
              <w:rPr>
                <w:b/>
                <w:bCs/>
                <w:lang w:val="es-ES_tradnl" w:eastAsia="es-ES"/>
              </w:rPr>
              <w:t xml:space="preserve"> (RED II)</w:t>
            </w:r>
          </w:p>
          <w:p w14:paraId="26BF72CA" w14:textId="6667AB18" w:rsidR="001B41F5" w:rsidRPr="0001004B" w:rsidRDefault="001B41F5" w:rsidP="00002BC2">
            <w:pPr>
              <w:pStyle w:val="5GlobalFactor"/>
              <w:numPr>
                <w:ilvl w:val="1"/>
                <w:numId w:val="71"/>
              </w:numPr>
              <w:jc w:val="left"/>
              <w:rPr>
                <w:b/>
                <w:bCs/>
                <w:lang w:val="es-ES_tradnl" w:eastAsia="es-ES"/>
              </w:rPr>
            </w:pPr>
            <w:r w:rsidRPr="001B41F5">
              <w:rPr>
                <w:b/>
                <w:bCs/>
                <w:color w:val="C45911" w:themeColor="accent2" w:themeShade="BF"/>
                <w:lang w:val="es-ES_tradnl" w:eastAsia="es-ES"/>
              </w:rPr>
              <w:t>Directiva (UE) 2023/2413</w:t>
            </w:r>
            <w:r w:rsidR="002B4469">
              <w:rPr>
                <w:b/>
                <w:bCs/>
                <w:color w:val="C45911" w:themeColor="accent2" w:themeShade="BF"/>
                <w:lang w:val="es-ES_tradnl" w:eastAsia="es-ES"/>
              </w:rPr>
              <w:t xml:space="preserve"> (RED III)</w:t>
            </w:r>
          </w:p>
          <w:p w14:paraId="1219517E" w14:textId="77777777" w:rsidR="0001004B" w:rsidRPr="001B41F5" w:rsidRDefault="0001004B" w:rsidP="00002BC2">
            <w:pPr>
              <w:pStyle w:val="5GlobalFactor"/>
              <w:numPr>
                <w:ilvl w:val="0"/>
                <w:numId w:val="71"/>
              </w:numPr>
              <w:jc w:val="left"/>
              <w:rPr>
                <w:b/>
                <w:bCs/>
                <w:lang w:val="es-ES_tradnl" w:eastAsia="es-ES"/>
              </w:rPr>
            </w:pPr>
            <w:r>
              <w:rPr>
                <w:b/>
                <w:bCs/>
                <w:lang w:val="es-ES_tradnl" w:eastAsia="es-ES"/>
              </w:rPr>
              <w:t>Reglamento AFIR</w:t>
            </w:r>
          </w:p>
          <w:p w14:paraId="0AF27258" w14:textId="56911C6C" w:rsidR="0001004B" w:rsidRPr="0001004B" w:rsidRDefault="0001004B" w:rsidP="00002BC2">
            <w:pPr>
              <w:pStyle w:val="5GlobalFactor"/>
              <w:numPr>
                <w:ilvl w:val="1"/>
                <w:numId w:val="71"/>
              </w:numPr>
              <w:jc w:val="left"/>
              <w:rPr>
                <w:b/>
                <w:bCs/>
                <w:lang w:val="es-ES_tradnl" w:eastAsia="es-ES"/>
              </w:rPr>
            </w:pPr>
            <w:r w:rsidRPr="00D41E25">
              <w:rPr>
                <w:b/>
                <w:bCs/>
                <w:color w:val="C45911" w:themeColor="accent2" w:themeShade="BF"/>
                <w:lang w:val="es-ES_tradnl" w:eastAsia="es-ES"/>
              </w:rPr>
              <w:t>Reglamento (UE) 2023/1804</w:t>
            </w:r>
          </w:p>
          <w:p w14:paraId="5FAB86BD" w14:textId="77777777" w:rsidR="001B41F5" w:rsidRPr="001B41F5" w:rsidRDefault="001B41F5" w:rsidP="00002BC2">
            <w:pPr>
              <w:pStyle w:val="5GlobalFactor"/>
              <w:numPr>
                <w:ilvl w:val="0"/>
                <w:numId w:val="71"/>
              </w:numPr>
              <w:jc w:val="left"/>
              <w:rPr>
                <w:b/>
                <w:bCs/>
                <w:lang w:val="es-ES_tradnl" w:eastAsia="es-ES"/>
              </w:rPr>
            </w:pPr>
            <w:r w:rsidRPr="001B41F5">
              <w:rPr>
                <w:b/>
                <w:bCs/>
                <w:color w:val="25775E"/>
                <w:lang w:val="es-ES_tradnl" w:eastAsia="es-ES"/>
              </w:rPr>
              <w:t>Directiva (UE) 2024/1760 sobre diligencia debida de las empresas en materia de sostenibilidad</w:t>
            </w:r>
          </w:p>
          <w:p w14:paraId="24899CFB" w14:textId="77777777" w:rsidR="001B41F5" w:rsidRPr="008A43B8" w:rsidRDefault="00D41E25" w:rsidP="00002BC2">
            <w:pPr>
              <w:pStyle w:val="5GlobalFactor"/>
              <w:numPr>
                <w:ilvl w:val="0"/>
                <w:numId w:val="71"/>
              </w:numPr>
              <w:jc w:val="left"/>
              <w:rPr>
                <w:b/>
                <w:bCs/>
                <w:lang w:val="es-ES_tradnl" w:eastAsia="es-ES"/>
              </w:rPr>
            </w:pPr>
            <w:r w:rsidRPr="00D41E25">
              <w:rPr>
                <w:b/>
                <w:bCs/>
                <w:color w:val="25775E"/>
                <w:lang w:val="es-ES_tradnl" w:eastAsia="es-ES"/>
              </w:rPr>
              <w:t>Directiva (UE) 2023/1791 relativa a la eficiencia energética</w:t>
            </w:r>
          </w:p>
          <w:p w14:paraId="401B8479" w14:textId="4A7C749B" w:rsidR="008A43B8" w:rsidRPr="00F81D0E" w:rsidRDefault="008A43B8" w:rsidP="00002BC2">
            <w:pPr>
              <w:pStyle w:val="5GlobalFactor"/>
              <w:numPr>
                <w:ilvl w:val="1"/>
                <w:numId w:val="71"/>
              </w:numPr>
              <w:jc w:val="left"/>
              <w:rPr>
                <w:b/>
                <w:bCs/>
                <w:lang w:val="es-ES_tradnl" w:eastAsia="es-ES"/>
              </w:rPr>
            </w:pPr>
            <w:r w:rsidRPr="008A43B8">
              <w:rPr>
                <w:b/>
                <w:bCs/>
                <w:color w:val="C45911" w:themeColor="accent2" w:themeShade="BF"/>
                <w:lang w:val="es-ES_tradnl" w:eastAsia="es-ES"/>
              </w:rPr>
              <w:t>Recomendación (UE) 2024/2002</w:t>
            </w:r>
          </w:p>
          <w:p w14:paraId="6563E6BD" w14:textId="43ABE062" w:rsidR="00F81D0E" w:rsidRPr="00690222" w:rsidRDefault="00F81D0E" w:rsidP="00002BC2">
            <w:pPr>
              <w:pStyle w:val="5GlobalFactor"/>
              <w:numPr>
                <w:ilvl w:val="1"/>
                <w:numId w:val="71"/>
              </w:numPr>
              <w:jc w:val="left"/>
              <w:rPr>
                <w:b/>
                <w:bCs/>
                <w:lang w:val="es-ES_tradnl" w:eastAsia="es-ES"/>
              </w:rPr>
            </w:pPr>
            <w:r w:rsidRPr="00690222">
              <w:rPr>
                <w:b/>
                <w:bCs/>
                <w:color w:val="C45911" w:themeColor="accent2" w:themeShade="BF"/>
                <w:lang w:val="es-ES_tradnl" w:eastAsia="es-ES"/>
              </w:rPr>
              <w:t>Recomendación (UE) 2024/2143</w:t>
            </w:r>
          </w:p>
          <w:p w14:paraId="7B0A19AA" w14:textId="1A3DA221" w:rsidR="007817E4" w:rsidRPr="007817E4" w:rsidRDefault="007817E4" w:rsidP="00002BC2">
            <w:pPr>
              <w:pStyle w:val="5GlobalFactor"/>
              <w:numPr>
                <w:ilvl w:val="0"/>
                <w:numId w:val="71"/>
              </w:numPr>
              <w:jc w:val="left"/>
              <w:rPr>
                <w:b/>
                <w:bCs/>
                <w:lang w:val="es-ES_tradnl" w:eastAsia="es-ES"/>
              </w:rPr>
            </w:pPr>
            <w:r>
              <w:rPr>
                <w:b/>
                <w:bCs/>
                <w:lang w:val="es-ES_tradnl" w:eastAsia="es-ES"/>
              </w:rPr>
              <w:t>EU ETS</w:t>
            </w:r>
          </w:p>
          <w:p w14:paraId="51A6ECC2" w14:textId="556ABE0F" w:rsidR="00D41E25" w:rsidRPr="008A43B8" w:rsidRDefault="00D41E25" w:rsidP="00002BC2">
            <w:pPr>
              <w:pStyle w:val="5GlobalFactor"/>
              <w:numPr>
                <w:ilvl w:val="1"/>
                <w:numId w:val="71"/>
              </w:numPr>
              <w:jc w:val="left"/>
              <w:rPr>
                <w:b/>
                <w:bCs/>
                <w:lang w:val="es-ES_tradnl" w:eastAsia="es-ES"/>
              </w:rPr>
            </w:pPr>
            <w:r w:rsidRPr="007817E4">
              <w:rPr>
                <w:b/>
                <w:bCs/>
                <w:color w:val="C45911" w:themeColor="accent2" w:themeShade="BF"/>
                <w:lang w:val="es-ES_tradnl" w:eastAsia="es-ES"/>
              </w:rPr>
              <w:t>Reglamento de Ejecución (UE) 2023/2441</w:t>
            </w:r>
          </w:p>
          <w:p w14:paraId="1355DCEE" w14:textId="77777777" w:rsidR="008A43B8" w:rsidRPr="008A43B8" w:rsidRDefault="008A43B8" w:rsidP="00002BC2">
            <w:pPr>
              <w:pStyle w:val="5GlobalFactor"/>
              <w:numPr>
                <w:ilvl w:val="0"/>
                <w:numId w:val="71"/>
              </w:numPr>
              <w:jc w:val="left"/>
              <w:rPr>
                <w:b/>
                <w:bCs/>
                <w:lang w:val="es-ES_tradnl" w:eastAsia="es-ES"/>
              </w:rPr>
            </w:pPr>
            <w:r w:rsidRPr="008A43B8">
              <w:rPr>
                <w:b/>
                <w:bCs/>
                <w:color w:val="25775E"/>
                <w:lang w:val="es-ES_tradnl" w:eastAsia="es-ES"/>
              </w:rPr>
              <w:t>Orden TED/728/2024 por la que se desarrolla el mecanismo de fomento de biocarburantes y otros combustibles renovables con fines de transporte</w:t>
            </w:r>
          </w:p>
          <w:p w14:paraId="7B1749C5" w14:textId="77777777" w:rsidR="00690222" w:rsidRDefault="00690222" w:rsidP="00002BC2">
            <w:pPr>
              <w:pStyle w:val="5GlobalFactor"/>
              <w:numPr>
                <w:ilvl w:val="0"/>
                <w:numId w:val="71"/>
              </w:numPr>
              <w:jc w:val="left"/>
              <w:rPr>
                <w:b/>
                <w:bCs/>
                <w:lang w:val="es-ES_tradnl" w:eastAsia="es-ES"/>
              </w:rPr>
            </w:pPr>
            <w:r>
              <w:rPr>
                <w:b/>
                <w:bCs/>
                <w:lang w:val="es-ES_tradnl" w:eastAsia="es-ES"/>
              </w:rPr>
              <w:t>Reglamento EU ETS</w:t>
            </w:r>
          </w:p>
          <w:p w14:paraId="79FB4479" w14:textId="77777777" w:rsidR="00690222" w:rsidRPr="00B25A8C" w:rsidRDefault="00690222" w:rsidP="00002BC2">
            <w:pPr>
              <w:pStyle w:val="5GlobalFactor"/>
              <w:numPr>
                <w:ilvl w:val="1"/>
                <w:numId w:val="71"/>
              </w:numPr>
              <w:jc w:val="left"/>
              <w:rPr>
                <w:b/>
                <w:bCs/>
                <w:lang w:val="es-ES_tradnl" w:eastAsia="es-ES"/>
              </w:rPr>
            </w:pPr>
            <w:r w:rsidRPr="00B25A8C">
              <w:rPr>
                <w:b/>
                <w:bCs/>
                <w:color w:val="C45911" w:themeColor="accent2" w:themeShade="BF"/>
                <w:lang w:val="es-ES_tradnl" w:eastAsia="es-ES"/>
              </w:rPr>
              <w:t>Nuevas normas de seguimiento para el EU ETS</w:t>
            </w:r>
          </w:p>
          <w:p w14:paraId="7B24A348" w14:textId="184C227B" w:rsidR="00B25A8C" w:rsidRPr="001B41F5" w:rsidRDefault="00B25A8C" w:rsidP="00002BC2">
            <w:pPr>
              <w:pStyle w:val="5GlobalFactor"/>
              <w:numPr>
                <w:ilvl w:val="1"/>
                <w:numId w:val="71"/>
              </w:numPr>
              <w:jc w:val="left"/>
              <w:rPr>
                <w:b/>
                <w:bCs/>
                <w:lang w:val="es-ES_tradnl" w:eastAsia="es-ES"/>
              </w:rPr>
            </w:pPr>
            <w:r w:rsidRPr="00B25A8C">
              <w:rPr>
                <w:b/>
                <w:bCs/>
                <w:color w:val="C45911" w:themeColor="accent2" w:themeShade="BF"/>
                <w:lang w:val="es-ES_tradnl" w:eastAsia="es-ES"/>
              </w:rPr>
              <w:t>Reglamento de Seguimiento y Notificación del Sistema de Comercio de derechos de Emisión (EU ETS)</w:t>
            </w:r>
          </w:p>
        </w:tc>
      </w:tr>
      <w:bookmarkEnd w:id="10"/>
    </w:tbl>
    <w:p w14:paraId="0B9639AF" w14:textId="77777777" w:rsidR="00741441" w:rsidRDefault="00741441" w:rsidP="00FA3C3A">
      <w:pPr>
        <w:pStyle w:val="5GlobalFactor"/>
        <w:rPr>
          <w:lang w:val="es-ES_tradnl" w:eastAsia="es-ES"/>
        </w:rPr>
      </w:pPr>
    </w:p>
    <w:p w14:paraId="4D07D77B" w14:textId="5BD0B12A" w:rsidR="00FA3C3A" w:rsidRDefault="00741441" w:rsidP="00FA3C3A">
      <w:pPr>
        <w:pStyle w:val="5GlobalFactor"/>
        <w:rPr>
          <w:lang w:val="es-ES_tradnl" w:eastAsia="es-ES"/>
        </w:rPr>
      </w:pPr>
      <w:r>
        <w:rPr>
          <w:lang w:val="es-ES_tradnl" w:eastAsia="es-ES"/>
        </w:rPr>
        <w:lastRenderedPageBreak/>
        <w:t xml:space="preserve">El </w:t>
      </w:r>
      <w:r w:rsidRPr="001B41F5">
        <w:rPr>
          <w:b/>
          <w:bCs/>
          <w:color w:val="C45911" w:themeColor="accent2" w:themeShade="BF"/>
          <w:lang w:val="es-ES_tradnl" w:eastAsia="es-ES"/>
        </w:rPr>
        <w:t>Reglamento de Ejecución (UE) 2023/1773</w:t>
      </w:r>
      <w:r w:rsidRPr="00741441">
        <w:rPr>
          <w:rStyle w:val="Refdenotaalpie"/>
          <w:lang w:val="es-ES_tradnl" w:eastAsia="es-ES"/>
        </w:rPr>
        <w:footnoteReference w:id="1"/>
      </w:r>
      <w:r>
        <w:rPr>
          <w:b/>
          <w:bCs/>
          <w:color w:val="C45911" w:themeColor="accent2" w:themeShade="BF"/>
          <w:lang w:val="es-ES_tradnl" w:eastAsia="es-ES"/>
        </w:rPr>
        <w:t xml:space="preserve"> </w:t>
      </w:r>
      <w:r>
        <w:rPr>
          <w:lang w:val="es-ES_tradnl" w:eastAsia="es-ES"/>
        </w:rPr>
        <w:t xml:space="preserve">establece las normas de desarrollo del </w:t>
      </w:r>
      <w:r w:rsidRPr="00741441">
        <w:rPr>
          <w:lang w:val="es-ES_tradnl" w:eastAsia="es-ES"/>
        </w:rPr>
        <w:t>Reglamento (UE) 2023/956</w:t>
      </w:r>
      <w:r>
        <w:rPr>
          <w:lang w:val="es-ES_tradnl" w:eastAsia="es-ES"/>
        </w:rPr>
        <w:t xml:space="preserve"> </w:t>
      </w:r>
      <w:r w:rsidRPr="00741441">
        <w:rPr>
          <w:lang w:val="es-ES_tradnl" w:eastAsia="es-ES"/>
        </w:rPr>
        <w:t xml:space="preserve">en lo que respecta a las obligaciones de presentación de informes a efectos del </w:t>
      </w:r>
      <w:r w:rsidRPr="00741441">
        <w:rPr>
          <w:b/>
          <w:bCs/>
          <w:lang w:val="es-ES_tradnl" w:eastAsia="es-ES"/>
        </w:rPr>
        <w:t>Mecanismo de Ajuste en Frontera por Carbono</w:t>
      </w:r>
      <w:r w:rsidR="008F250B">
        <w:rPr>
          <w:b/>
          <w:bCs/>
          <w:lang w:val="es-ES_tradnl" w:eastAsia="es-ES"/>
        </w:rPr>
        <w:t xml:space="preserve"> (CBAM)</w:t>
      </w:r>
      <w:r w:rsidRPr="00741441">
        <w:rPr>
          <w:lang w:val="es-ES_tradnl" w:eastAsia="es-ES"/>
        </w:rPr>
        <w:t xml:space="preserve"> durante el período transitorio</w:t>
      </w:r>
      <w:r>
        <w:rPr>
          <w:lang w:val="es-ES_tradnl" w:eastAsia="es-ES"/>
        </w:rPr>
        <w:t xml:space="preserve">. </w:t>
      </w:r>
    </w:p>
    <w:p w14:paraId="7F2B455D" w14:textId="29BA68D2" w:rsidR="00741441" w:rsidRDefault="00741441" w:rsidP="00FA3C3A">
      <w:pPr>
        <w:pStyle w:val="5GlobalFactor"/>
        <w:rPr>
          <w:lang w:val="es-ES_tradnl" w:eastAsia="es-ES"/>
        </w:rPr>
      </w:pPr>
      <w:r>
        <w:rPr>
          <w:lang w:val="es-ES_tradnl" w:eastAsia="es-ES"/>
        </w:rPr>
        <w:t xml:space="preserve">La </w:t>
      </w:r>
      <w:r w:rsidRPr="00741441">
        <w:rPr>
          <w:b/>
          <w:bCs/>
          <w:color w:val="C45911" w:themeColor="accent2" w:themeShade="BF"/>
          <w:lang w:val="es-ES_tradnl" w:eastAsia="es-ES"/>
        </w:rPr>
        <w:t>Directiva (UE) 2023/2413</w:t>
      </w:r>
      <w:r w:rsidR="002B4469">
        <w:rPr>
          <w:b/>
          <w:bCs/>
          <w:color w:val="C45911" w:themeColor="accent2" w:themeShade="BF"/>
          <w:lang w:val="es-ES_tradnl" w:eastAsia="es-ES"/>
        </w:rPr>
        <w:t xml:space="preserve"> (RED III)</w:t>
      </w:r>
      <w:r>
        <w:rPr>
          <w:rStyle w:val="Refdenotaalpie"/>
          <w:lang w:val="es-ES_tradnl" w:eastAsia="es-ES"/>
        </w:rPr>
        <w:footnoteReference w:id="2"/>
      </w:r>
      <w:r>
        <w:rPr>
          <w:lang w:val="es-ES_tradnl" w:eastAsia="es-ES"/>
        </w:rPr>
        <w:t xml:space="preserve"> </w:t>
      </w:r>
      <w:r w:rsidRPr="00741441">
        <w:rPr>
          <w:lang w:val="es-ES_tradnl" w:eastAsia="es-ES"/>
        </w:rPr>
        <w:t xml:space="preserve">modifica la </w:t>
      </w:r>
      <w:r w:rsidRPr="00741441">
        <w:rPr>
          <w:b/>
          <w:bCs/>
          <w:lang w:val="es-ES_tradnl" w:eastAsia="es-ES"/>
        </w:rPr>
        <w:t>Directiva (UE) 2018/2001</w:t>
      </w:r>
      <w:r w:rsidR="002B4469">
        <w:rPr>
          <w:b/>
          <w:bCs/>
          <w:lang w:val="es-ES_tradnl" w:eastAsia="es-ES"/>
        </w:rPr>
        <w:t xml:space="preserve"> (RED II)</w:t>
      </w:r>
      <w:r>
        <w:rPr>
          <w:b/>
          <w:bCs/>
          <w:lang w:val="es-ES_tradnl" w:eastAsia="es-ES"/>
        </w:rPr>
        <w:t>,</w:t>
      </w:r>
      <w:r w:rsidRPr="00741441">
        <w:rPr>
          <w:lang w:val="es-ES_tradnl" w:eastAsia="es-ES"/>
        </w:rPr>
        <w:t xml:space="preserve"> el Reglamento (UE) 2018/1999 y la Directiva 98/70/CE en lo que respecta a la promoción de la energía procedente de fuentes renovables</w:t>
      </w:r>
      <w:r>
        <w:rPr>
          <w:lang w:val="es-ES_tradnl" w:eastAsia="es-ES"/>
        </w:rPr>
        <w:t xml:space="preserve">. Esta </w:t>
      </w:r>
      <w:r w:rsidRPr="00741441">
        <w:rPr>
          <w:lang w:val="es-ES_tradnl" w:eastAsia="es-ES"/>
        </w:rPr>
        <w:t>directiva establece un objetivo vinculante de al menos el 32% de consumo final bruto renovable, introduce sistemas de apoyo para las renovables y busca impulsar el autoconsumo de energías renovables, entre otras cosas</w:t>
      </w:r>
      <w:r>
        <w:rPr>
          <w:lang w:val="es-ES_tradnl" w:eastAsia="es-ES"/>
        </w:rPr>
        <w:t>.</w:t>
      </w:r>
    </w:p>
    <w:p w14:paraId="336085B8" w14:textId="340D3554" w:rsidR="0001004B" w:rsidRDefault="0001004B" w:rsidP="00FA3C3A">
      <w:pPr>
        <w:pStyle w:val="5GlobalFactor"/>
        <w:rPr>
          <w:lang w:val="es-ES_tradnl" w:eastAsia="es-ES"/>
        </w:rPr>
      </w:pPr>
      <w:r>
        <w:rPr>
          <w:lang w:val="es-ES_tradnl" w:eastAsia="es-ES"/>
        </w:rPr>
        <w:t xml:space="preserve">El </w:t>
      </w:r>
      <w:r w:rsidRPr="00960963">
        <w:rPr>
          <w:b/>
          <w:bCs/>
          <w:color w:val="C45911" w:themeColor="accent2" w:themeShade="BF"/>
          <w:lang w:val="es-ES_tradnl" w:eastAsia="es-ES"/>
        </w:rPr>
        <w:t>Reglamento (UE) 2023/1804</w:t>
      </w:r>
      <w:r>
        <w:rPr>
          <w:rStyle w:val="Refdenotaalpie"/>
          <w:lang w:val="es-ES_tradnl" w:eastAsia="es-ES"/>
        </w:rPr>
        <w:footnoteReference w:id="3"/>
      </w:r>
      <w:r>
        <w:rPr>
          <w:lang w:val="es-ES_tradnl" w:eastAsia="es-ES"/>
        </w:rPr>
        <w:t xml:space="preserve"> marca el comienzo de aplicación, a partir del 13 de abril del 2024, del </w:t>
      </w:r>
      <w:r w:rsidRPr="00960963">
        <w:rPr>
          <w:b/>
          <w:bCs/>
          <w:lang w:val="es-ES_tradnl" w:eastAsia="es-ES"/>
        </w:rPr>
        <w:t>Reglamento AFIR</w:t>
      </w:r>
      <w:r>
        <w:rPr>
          <w:lang w:val="es-ES_tradnl" w:eastAsia="es-ES"/>
        </w:rPr>
        <w:t xml:space="preserve"> </w:t>
      </w:r>
      <w:r w:rsidRPr="00960963">
        <w:rPr>
          <w:lang w:val="es-ES_tradnl" w:eastAsia="es-ES"/>
        </w:rPr>
        <w:t>relativo a la implantación de una infraestructura para los combustibles alternativos. Entre las principales disposiciones se encuentran la infraestructura de recarga para vehículos eléctricos, la infraestructura de hidrógeno, el suministro de electricidad en puertos y aeropuertos, el pago y acceso, y las metas y fechas clave para la aplicación de la normativa</w:t>
      </w:r>
      <w:r>
        <w:rPr>
          <w:lang w:val="es-ES_tradnl" w:eastAsia="es-ES"/>
        </w:rPr>
        <w:t>.</w:t>
      </w:r>
    </w:p>
    <w:p w14:paraId="2348CCB3" w14:textId="07D36A26" w:rsidR="00741441" w:rsidRDefault="00741441" w:rsidP="00FA3C3A">
      <w:pPr>
        <w:pStyle w:val="5GlobalFactor"/>
        <w:rPr>
          <w:lang w:val="es-ES_tradnl" w:eastAsia="es-ES"/>
        </w:rPr>
      </w:pPr>
      <w:r>
        <w:rPr>
          <w:lang w:val="es-ES_tradnl" w:eastAsia="es-ES"/>
        </w:rPr>
        <w:t xml:space="preserve">La </w:t>
      </w:r>
      <w:r w:rsidRPr="00741441">
        <w:rPr>
          <w:b/>
          <w:bCs/>
          <w:color w:val="25775E"/>
          <w:lang w:val="es-ES_tradnl" w:eastAsia="es-ES"/>
        </w:rPr>
        <w:t>Directiva (UE) 2024/1760 sobre diligencia debida de las empresas en materia de sostenibilidad</w:t>
      </w:r>
      <w:r>
        <w:rPr>
          <w:rStyle w:val="Refdenotaalpie"/>
          <w:lang w:val="es-ES_tradnl" w:eastAsia="es-ES"/>
        </w:rPr>
        <w:footnoteReference w:id="4"/>
      </w:r>
      <w:r>
        <w:rPr>
          <w:lang w:val="es-ES_tradnl" w:eastAsia="es-ES"/>
        </w:rPr>
        <w:t xml:space="preserve"> </w:t>
      </w:r>
      <w:r w:rsidRPr="00741441">
        <w:rPr>
          <w:lang w:val="es-ES_tradnl" w:eastAsia="es-ES"/>
        </w:rPr>
        <w:t>exige que las empresas aseguren el respeto de los derechos humanos y las obligaciones medioambientales a lo largo de toda su cadena de actividades. En caso de incumplimiento, las empresas deberán adoptar medidas adecuadas para prevenir, mitigar, eliminar o minimizar los efectos adversos resultantes de sus propias actividades, así como las de sus filiales y socios comerciales.</w:t>
      </w:r>
      <w:r w:rsidR="006568DF">
        <w:rPr>
          <w:lang w:val="es-ES_tradnl" w:eastAsia="es-ES"/>
        </w:rPr>
        <w:t xml:space="preserve"> </w:t>
      </w:r>
      <w:r w:rsidRPr="00741441">
        <w:rPr>
          <w:lang w:val="es-ES_tradnl" w:eastAsia="es-ES"/>
        </w:rPr>
        <w:t>Las empresas pueden ser responsables de los daños causados y deberán indemnizar íntegramente a las víctimas afectadas.</w:t>
      </w:r>
      <w:r>
        <w:rPr>
          <w:lang w:val="es-ES_tradnl" w:eastAsia="es-ES"/>
        </w:rPr>
        <w:t xml:space="preserve"> De momento, aplica a </w:t>
      </w:r>
      <w:r w:rsidRPr="00741441">
        <w:rPr>
          <w:lang w:val="es-ES_tradnl" w:eastAsia="es-ES"/>
        </w:rPr>
        <w:t>empresas que superen los 1.000 empleados y tengan un volumen de negocios superior a 450 millones de euros</w:t>
      </w:r>
      <w:r>
        <w:rPr>
          <w:lang w:val="es-ES_tradnl" w:eastAsia="es-ES"/>
        </w:rPr>
        <w:t>.</w:t>
      </w:r>
    </w:p>
    <w:p w14:paraId="36B38895" w14:textId="36E69D62" w:rsidR="00741441" w:rsidRDefault="00741441" w:rsidP="00FA3C3A">
      <w:pPr>
        <w:pStyle w:val="5GlobalFactor"/>
        <w:rPr>
          <w:lang w:val="es-ES_tradnl" w:eastAsia="es-ES"/>
        </w:rPr>
      </w:pPr>
      <w:r>
        <w:rPr>
          <w:lang w:val="es-ES_tradnl" w:eastAsia="es-ES"/>
        </w:rPr>
        <w:t xml:space="preserve">La </w:t>
      </w:r>
      <w:r w:rsidRPr="00741441">
        <w:rPr>
          <w:b/>
          <w:bCs/>
          <w:color w:val="25775E"/>
          <w:lang w:val="es-ES_tradnl" w:eastAsia="es-ES"/>
        </w:rPr>
        <w:t>Directiva (UE) 2023/1791 relativa a la eficiencia energética</w:t>
      </w:r>
      <w:r>
        <w:rPr>
          <w:rStyle w:val="Refdenotaalpie"/>
          <w:lang w:val="es-ES_tradnl" w:eastAsia="es-ES"/>
        </w:rPr>
        <w:footnoteReference w:id="5"/>
      </w:r>
      <w:r>
        <w:rPr>
          <w:lang w:val="es-ES_tradnl" w:eastAsia="es-ES"/>
        </w:rPr>
        <w:t xml:space="preserve"> modifica el </w:t>
      </w:r>
      <w:r w:rsidRPr="00741441">
        <w:rPr>
          <w:lang w:val="es-ES_tradnl" w:eastAsia="es-ES"/>
        </w:rPr>
        <w:t>Reglamento (UE) 2023/955 y establece un marco común de medidas para el fomento de la eficiencia energética dentro de la U</w:t>
      </w:r>
      <w:r w:rsidR="00B7289F">
        <w:rPr>
          <w:lang w:val="es-ES_tradnl" w:eastAsia="es-ES"/>
        </w:rPr>
        <w:t>E</w:t>
      </w:r>
      <w:r w:rsidRPr="00741441">
        <w:rPr>
          <w:lang w:val="es-ES_tradnl" w:eastAsia="es-ES"/>
        </w:rPr>
        <w:t xml:space="preserve"> a fin de garantizar la consecución de los objetivos de la Unión en materia de eficiencia energética</w:t>
      </w:r>
      <w:r w:rsidR="007817E4">
        <w:rPr>
          <w:lang w:val="es-ES_tradnl" w:eastAsia="es-ES"/>
        </w:rPr>
        <w:t>,</w:t>
      </w:r>
      <w:r w:rsidRPr="00741441">
        <w:rPr>
          <w:lang w:val="es-ES_tradnl" w:eastAsia="es-ES"/>
        </w:rPr>
        <w:t xml:space="preserve"> y crea un marco propicio para mejoras ulteriores de eficiencia energética</w:t>
      </w:r>
      <w:r>
        <w:rPr>
          <w:lang w:val="es-ES_tradnl" w:eastAsia="es-ES"/>
        </w:rPr>
        <w:t>.</w:t>
      </w:r>
      <w:r w:rsidR="007817E4">
        <w:rPr>
          <w:lang w:val="es-ES_tradnl" w:eastAsia="es-ES"/>
        </w:rPr>
        <w:t xml:space="preserve"> El objetivo de ahorro energético establecido es de un 11,7% para 2030.</w:t>
      </w:r>
      <w:r w:rsidR="008A43B8">
        <w:rPr>
          <w:lang w:val="es-ES_tradnl" w:eastAsia="es-ES"/>
        </w:rPr>
        <w:t xml:space="preserve"> Además, la </w:t>
      </w:r>
      <w:r w:rsidR="008A43B8" w:rsidRPr="008A43B8">
        <w:rPr>
          <w:b/>
          <w:bCs/>
          <w:color w:val="C45911" w:themeColor="accent2" w:themeShade="BF"/>
          <w:lang w:val="es-ES_tradnl" w:eastAsia="es-ES"/>
        </w:rPr>
        <w:t>Recomendación (UE) 2024/2002</w:t>
      </w:r>
      <w:r w:rsidR="008A43B8">
        <w:rPr>
          <w:rStyle w:val="Refdenotaalpie"/>
          <w:lang w:val="es-ES_tradnl" w:eastAsia="es-ES"/>
        </w:rPr>
        <w:footnoteReference w:id="6"/>
      </w:r>
      <w:r w:rsidR="008A43B8">
        <w:rPr>
          <w:lang w:val="es-ES_tradnl" w:eastAsia="es-ES"/>
        </w:rPr>
        <w:t xml:space="preserve"> establece </w:t>
      </w:r>
      <w:r w:rsidR="008A43B8" w:rsidRPr="008A43B8">
        <w:rPr>
          <w:lang w:val="es-ES_tradnl" w:eastAsia="es-ES"/>
        </w:rPr>
        <w:t xml:space="preserve">directrices para la interpretación del artículo 11 de </w:t>
      </w:r>
      <w:r w:rsidR="008A43B8">
        <w:rPr>
          <w:lang w:val="es-ES_tradnl" w:eastAsia="es-ES"/>
        </w:rPr>
        <w:t>esta directiva</w:t>
      </w:r>
      <w:r w:rsidR="008A43B8" w:rsidRPr="008A43B8">
        <w:rPr>
          <w:lang w:val="es-ES_tradnl" w:eastAsia="es-ES"/>
        </w:rPr>
        <w:t xml:space="preserve"> en lo que respecta a los sistemas de gestión de la energía y las auditorías energéticas</w:t>
      </w:r>
      <w:r w:rsidR="00F81D0E">
        <w:rPr>
          <w:lang w:val="es-ES_tradnl" w:eastAsia="es-ES"/>
        </w:rPr>
        <w:t xml:space="preserve">, mientras que la </w:t>
      </w:r>
      <w:r w:rsidR="00F81D0E" w:rsidRPr="00F81D0E">
        <w:rPr>
          <w:b/>
          <w:bCs/>
          <w:color w:val="C45911" w:themeColor="accent2" w:themeShade="BF"/>
          <w:lang w:val="es-ES_tradnl" w:eastAsia="es-ES"/>
        </w:rPr>
        <w:t>Recomendación (UE) 2024/2143</w:t>
      </w:r>
      <w:r w:rsidR="00F81D0E">
        <w:rPr>
          <w:rStyle w:val="Refdenotaalpie"/>
          <w:lang w:val="es-ES_tradnl" w:eastAsia="es-ES"/>
        </w:rPr>
        <w:footnoteReference w:id="7"/>
      </w:r>
      <w:r w:rsidR="00F81D0E">
        <w:rPr>
          <w:lang w:val="es-ES_tradnl" w:eastAsia="es-ES"/>
        </w:rPr>
        <w:t xml:space="preserve"> lo hace para la interpretación del artículo 3 en lo relativo </w:t>
      </w:r>
      <w:r w:rsidR="00F81D0E" w:rsidRPr="00F81D0E">
        <w:rPr>
          <w:lang w:val="es-ES_tradnl" w:eastAsia="es-ES"/>
        </w:rPr>
        <w:t>al principio de «primero la eficiencia energética»</w:t>
      </w:r>
      <w:r w:rsidR="00F81D0E">
        <w:rPr>
          <w:lang w:val="es-ES_tradnl" w:eastAsia="es-ES"/>
        </w:rPr>
        <w:t>.</w:t>
      </w:r>
    </w:p>
    <w:p w14:paraId="49CFC2B8" w14:textId="507F3302" w:rsidR="00741441" w:rsidRDefault="00741441" w:rsidP="00FA3C3A">
      <w:pPr>
        <w:pStyle w:val="5GlobalFactor"/>
        <w:rPr>
          <w:lang w:val="es-ES_tradnl" w:eastAsia="es-ES"/>
        </w:rPr>
      </w:pPr>
      <w:r>
        <w:rPr>
          <w:lang w:val="es-ES_tradnl" w:eastAsia="es-ES"/>
        </w:rPr>
        <w:t xml:space="preserve">El </w:t>
      </w:r>
      <w:r w:rsidRPr="007817E4">
        <w:rPr>
          <w:b/>
          <w:bCs/>
          <w:color w:val="C45911" w:themeColor="accent2" w:themeShade="BF"/>
          <w:lang w:val="es-ES_tradnl" w:eastAsia="es-ES"/>
        </w:rPr>
        <w:t>Reglamento de Ejecución (UE) 2023/2441</w:t>
      </w:r>
      <w:r w:rsidR="005A3B3B">
        <w:rPr>
          <w:rStyle w:val="Refdenotaalpie"/>
          <w:lang w:val="es-ES_tradnl" w:eastAsia="es-ES"/>
        </w:rPr>
        <w:footnoteReference w:id="8"/>
      </w:r>
      <w:r w:rsidR="005A3B3B">
        <w:rPr>
          <w:lang w:val="es-ES_tradnl" w:eastAsia="es-ES"/>
        </w:rPr>
        <w:t xml:space="preserve"> establece </w:t>
      </w:r>
      <w:r w:rsidR="005A3B3B" w:rsidRPr="005A3B3B">
        <w:rPr>
          <w:lang w:val="es-ES_tradnl" w:eastAsia="es-ES"/>
        </w:rPr>
        <w:t>normas para la aplicación de la Directiva 2003/87/CE</w:t>
      </w:r>
      <w:r w:rsidR="007817E4">
        <w:rPr>
          <w:lang w:val="es-ES_tradnl" w:eastAsia="es-ES"/>
        </w:rPr>
        <w:t xml:space="preserve"> (</w:t>
      </w:r>
      <w:r w:rsidR="007817E4" w:rsidRPr="007817E4">
        <w:rPr>
          <w:b/>
          <w:bCs/>
          <w:lang w:val="es-ES_tradnl" w:eastAsia="es-ES"/>
        </w:rPr>
        <w:t>EU ETS</w:t>
      </w:r>
      <w:r w:rsidR="007817E4">
        <w:rPr>
          <w:lang w:val="es-ES_tradnl" w:eastAsia="es-ES"/>
        </w:rPr>
        <w:t>)</w:t>
      </w:r>
      <w:r w:rsidR="005A3B3B">
        <w:rPr>
          <w:lang w:val="es-ES_tradnl" w:eastAsia="es-ES"/>
        </w:rPr>
        <w:t xml:space="preserve"> </w:t>
      </w:r>
      <w:r w:rsidR="005A3B3B" w:rsidRPr="005A3B3B">
        <w:rPr>
          <w:lang w:val="es-ES_tradnl" w:eastAsia="es-ES"/>
        </w:rPr>
        <w:t>en lo que respecta al contenido y el formato de los planes de neutralidad climática necesarios para que se concedan asignaciones gratuitas de derechos de emisión</w:t>
      </w:r>
      <w:r w:rsidR="005A3B3B">
        <w:rPr>
          <w:lang w:val="es-ES_tradnl" w:eastAsia="es-ES"/>
        </w:rPr>
        <w:t>.</w:t>
      </w:r>
    </w:p>
    <w:p w14:paraId="15B7A0D4" w14:textId="0B38B3EE" w:rsidR="008A43B8" w:rsidRDefault="008A43B8" w:rsidP="00FA3C3A">
      <w:pPr>
        <w:pStyle w:val="5GlobalFactor"/>
        <w:rPr>
          <w:lang w:val="es-ES_tradnl" w:eastAsia="es-ES"/>
        </w:rPr>
      </w:pPr>
      <w:r>
        <w:rPr>
          <w:lang w:val="es-ES_tradnl" w:eastAsia="es-ES"/>
        </w:rPr>
        <w:lastRenderedPageBreak/>
        <w:t xml:space="preserve">La </w:t>
      </w:r>
      <w:r w:rsidRPr="008A43B8">
        <w:rPr>
          <w:b/>
          <w:bCs/>
          <w:color w:val="25775E"/>
          <w:lang w:val="es-ES_tradnl" w:eastAsia="es-ES"/>
        </w:rPr>
        <w:t>Orden TED/728/2024 por la que se desarrolla el mecanismo de fomento de biocarburantes y otros combustibles renovables con fines de transporte</w:t>
      </w:r>
      <w:r>
        <w:rPr>
          <w:rStyle w:val="Refdenotaalpie"/>
          <w:lang w:val="es-ES_tradnl" w:eastAsia="es-ES"/>
        </w:rPr>
        <w:footnoteReference w:id="9"/>
      </w:r>
      <w:r>
        <w:rPr>
          <w:lang w:val="es-ES_tradnl" w:eastAsia="es-ES"/>
        </w:rPr>
        <w:t xml:space="preserve"> </w:t>
      </w:r>
      <w:r w:rsidRPr="008A43B8">
        <w:rPr>
          <w:lang w:val="es-ES_tradnl" w:eastAsia="es-ES"/>
        </w:rPr>
        <w:t>establece el modo en que los suministradores de productos petrolíferos deben certificar y contabilizar las cantidades producidas de biocombustibles y combustibles renovables de origen no biológico, a efectos de cumplir los objetivos que tienen establecidos</w:t>
      </w:r>
      <w:r>
        <w:rPr>
          <w:lang w:val="es-ES_tradnl" w:eastAsia="es-ES"/>
        </w:rPr>
        <w:t xml:space="preserve">. En el </w:t>
      </w:r>
      <w:r w:rsidRPr="008A43B8">
        <w:rPr>
          <w:lang w:val="es-ES_tradnl" w:eastAsia="es-ES"/>
        </w:rPr>
        <w:t>caso del transporte marítimo y aéreo</w:t>
      </w:r>
      <w:r>
        <w:rPr>
          <w:lang w:val="es-ES_tradnl" w:eastAsia="es-ES"/>
        </w:rPr>
        <w:t>,</w:t>
      </w:r>
      <w:r w:rsidRPr="008A43B8">
        <w:rPr>
          <w:lang w:val="es-ES_tradnl" w:eastAsia="es-ES"/>
        </w:rPr>
        <w:t xml:space="preserve"> establece que los combustibles sostenibles computarán a efectos del cumplimiento de los objetivos de venta o consumo de biocarburantes desde 2024 y la cantidad suministrada tendrá un multiplicador 1,2</w:t>
      </w:r>
      <w:r>
        <w:rPr>
          <w:lang w:val="es-ES_tradnl" w:eastAsia="es-ES"/>
        </w:rPr>
        <w:t>.</w:t>
      </w:r>
    </w:p>
    <w:p w14:paraId="0B769A75" w14:textId="2FE07E8B" w:rsidR="00690222" w:rsidRDefault="00690222" w:rsidP="00FA3C3A">
      <w:pPr>
        <w:pStyle w:val="5GlobalFactor"/>
        <w:rPr>
          <w:lang w:val="es-ES_tradnl" w:eastAsia="es-ES"/>
        </w:rPr>
      </w:pPr>
      <w:r>
        <w:rPr>
          <w:lang w:val="es-ES_tradnl" w:eastAsia="es-ES"/>
        </w:rPr>
        <w:t xml:space="preserve">El 29 de agosto de 2024, la UE llegó a un acuerdo sobre </w:t>
      </w:r>
      <w:r w:rsidRPr="00B25A8C">
        <w:rPr>
          <w:b/>
          <w:bCs/>
          <w:color w:val="C45911" w:themeColor="accent2" w:themeShade="BF"/>
          <w:lang w:val="es-ES_tradnl" w:eastAsia="es-ES"/>
        </w:rPr>
        <w:t>Nuevas normas de seguimiento</w:t>
      </w:r>
      <w:r w:rsidR="00377592">
        <w:rPr>
          <w:rStyle w:val="Refdenotaalpie"/>
          <w:lang w:val="es-ES_tradnl" w:eastAsia="es-ES"/>
        </w:rPr>
        <w:footnoteReference w:id="10"/>
      </w:r>
      <w:r w:rsidRPr="00B25A8C">
        <w:rPr>
          <w:b/>
          <w:bCs/>
          <w:color w:val="C45911" w:themeColor="accent2" w:themeShade="BF"/>
          <w:lang w:val="es-ES_tradnl" w:eastAsia="es-ES"/>
        </w:rPr>
        <w:t xml:space="preserve"> </w:t>
      </w:r>
      <w:r w:rsidRPr="00377592">
        <w:rPr>
          <w:lang w:val="es-ES_tradnl" w:eastAsia="es-ES"/>
        </w:rPr>
        <w:t>para el</w:t>
      </w:r>
      <w:r w:rsidRPr="00377592">
        <w:rPr>
          <w:b/>
          <w:bCs/>
          <w:lang w:val="es-ES_tradnl" w:eastAsia="es-ES"/>
        </w:rPr>
        <w:t xml:space="preserve"> EU ETS</w:t>
      </w:r>
      <w:r>
        <w:rPr>
          <w:lang w:val="es-ES_tradnl" w:eastAsia="es-ES"/>
        </w:rPr>
        <w:t xml:space="preserve">, incluyendo una </w:t>
      </w:r>
      <w:r w:rsidR="0098160C" w:rsidRPr="0098160C">
        <w:rPr>
          <w:lang w:val="es-ES_tradnl" w:eastAsia="es-ES"/>
        </w:rPr>
        <w:t>calificación de cero emisiones para combustibles renovables no biológicos, reciclados y sintéticos con bajo contenido de carbono, siempre que cumplan con criterios estrictos de sostenibilidad. También se mejoraron las normas sobre la transferencia de CO</w:t>
      </w:r>
      <w:r w:rsidR="0098160C" w:rsidRPr="0098160C">
        <w:rPr>
          <w:vertAlign w:val="subscript"/>
          <w:lang w:val="es-ES_tradnl" w:eastAsia="es-ES"/>
        </w:rPr>
        <w:t>2</w:t>
      </w:r>
      <w:r w:rsidR="0098160C" w:rsidRPr="0098160C">
        <w:rPr>
          <w:lang w:val="es-ES_tradnl" w:eastAsia="es-ES"/>
        </w:rPr>
        <w:t xml:space="preserve"> y se introdujeron nuevos requisitos para el monitoreo de combustibles alternativos de aviación y efectos no relacionados con CO</w:t>
      </w:r>
      <w:r w:rsidR="0098160C" w:rsidRPr="0098160C">
        <w:rPr>
          <w:vertAlign w:val="subscript"/>
          <w:lang w:val="es-ES_tradnl" w:eastAsia="es-ES"/>
        </w:rPr>
        <w:t>2</w:t>
      </w:r>
      <w:r w:rsidR="0098160C">
        <w:rPr>
          <w:lang w:val="es-ES_tradnl" w:eastAsia="es-ES"/>
        </w:rPr>
        <w:t>.</w:t>
      </w:r>
      <w:r w:rsidR="00B25A8C">
        <w:rPr>
          <w:lang w:val="es-ES_tradnl" w:eastAsia="es-ES"/>
        </w:rPr>
        <w:t xml:space="preserve"> </w:t>
      </w:r>
    </w:p>
    <w:p w14:paraId="1816D75A" w14:textId="514A8630" w:rsidR="00B25A8C" w:rsidRPr="0098160C" w:rsidRDefault="00B25A8C" w:rsidP="00FA3C3A">
      <w:pPr>
        <w:pStyle w:val="5GlobalFactor"/>
        <w:rPr>
          <w:lang w:val="es-ES_tradnl" w:eastAsia="es-ES"/>
        </w:rPr>
      </w:pPr>
      <w:r>
        <w:rPr>
          <w:lang w:val="es-ES_tradnl" w:eastAsia="es-ES"/>
        </w:rPr>
        <w:t xml:space="preserve">También enmarcado en el </w:t>
      </w:r>
      <w:r w:rsidRPr="00B25A8C">
        <w:rPr>
          <w:b/>
          <w:bCs/>
          <w:lang w:val="es-ES_tradnl" w:eastAsia="es-ES"/>
        </w:rPr>
        <w:t>EU ETS</w:t>
      </w:r>
      <w:r>
        <w:rPr>
          <w:lang w:val="es-ES_tradnl" w:eastAsia="es-ES"/>
        </w:rPr>
        <w:t xml:space="preserve">, </w:t>
      </w:r>
      <w:r w:rsidR="00C25217">
        <w:rPr>
          <w:lang w:val="es-ES_tradnl" w:eastAsia="es-ES"/>
        </w:rPr>
        <w:t xml:space="preserve">la Comisión Europea adoptó una enmienda al </w:t>
      </w:r>
      <w:r w:rsidRPr="00C25217">
        <w:rPr>
          <w:b/>
          <w:bCs/>
          <w:color w:val="C45911" w:themeColor="accent2" w:themeShade="BF"/>
          <w:lang w:val="es-ES_tradnl" w:eastAsia="es-ES"/>
        </w:rPr>
        <w:t>Reglamento Seguimiento y Notificación del Sistema de Comercio de derechos de Emisión</w:t>
      </w:r>
      <w:r>
        <w:rPr>
          <w:rStyle w:val="Refdenotaalpie"/>
          <w:lang w:val="es-ES_tradnl" w:eastAsia="es-ES"/>
        </w:rPr>
        <w:footnoteReference w:id="11"/>
      </w:r>
      <w:r w:rsidR="00C25217">
        <w:rPr>
          <w:lang w:val="es-ES_tradnl" w:eastAsia="es-ES"/>
        </w:rPr>
        <w:t xml:space="preserve"> </w:t>
      </w:r>
      <w:r w:rsidR="00C25217" w:rsidRPr="00C25217">
        <w:rPr>
          <w:lang w:val="es-ES_tradnl" w:eastAsia="es-ES"/>
        </w:rPr>
        <w:t>que incluye nuevas disposiciones como la exención de emisiones para ciertos combustibles bajos en carbono, los combustibles renovables de origen no biológico y los combustibles sintéticos. Las revisiones también mejoran las reglas para combustibles de biomasa y combustibles sostenibles de aviación, garantizando el cumplimiento de criterios de sostenibilidad y evitando el doble conteo de emisiones. Además, se implementan requisitos para monitorear los efectos no relacionados con CO</w:t>
      </w:r>
      <w:r w:rsidR="00C25217" w:rsidRPr="00C25217">
        <w:rPr>
          <w:vertAlign w:val="subscript"/>
          <w:lang w:val="es-ES_tradnl" w:eastAsia="es-ES"/>
        </w:rPr>
        <w:t>2</w:t>
      </w:r>
      <w:r w:rsidR="00C25217" w:rsidRPr="00C25217">
        <w:rPr>
          <w:lang w:val="es-ES_tradnl" w:eastAsia="es-ES"/>
        </w:rPr>
        <w:t xml:space="preserve"> en la aviación, como los </w:t>
      </w:r>
      <w:proofErr w:type="spellStart"/>
      <w:r w:rsidR="00C25217" w:rsidRPr="00C25217">
        <w:rPr>
          <w:i/>
          <w:iCs/>
          <w:lang w:val="es-ES_tradnl" w:eastAsia="es-ES"/>
        </w:rPr>
        <w:t>contrails</w:t>
      </w:r>
      <w:proofErr w:type="spellEnd"/>
      <w:r w:rsidR="00C25217" w:rsidRPr="00C25217">
        <w:rPr>
          <w:lang w:val="es-ES_tradnl" w:eastAsia="es-ES"/>
        </w:rPr>
        <w:t xml:space="preserve"> (</w:t>
      </w:r>
      <w:proofErr w:type="spellStart"/>
      <w:r w:rsidR="00C25217" w:rsidRPr="00C25217">
        <w:rPr>
          <w:i/>
          <w:iCs/>
          <w:lang w:val="es-ES_tradnl" w:eastAsia="es-ES"/>
        </w:rPr>
        <w:t>condensation</w:t>
      </w:r>
      <w:proofErr w:type="spellEnd"/>
      <w:r w:rsidR="00C25217" w:rsidRPr="00C25217">
        <w:rPr>
          <w:i/>
          <w:iCs/>
          <w:lang w:val="es-ES_tradnl" w:eastAsia="es-ES"/>
        </w:rPr>
        <w:t xml:space="preserve"> </w:t>
      </w:r>
      <w:proofErr w:type="spellStart"/>
      <w:r w:rsidR="00C25217" w:rsidRPr="00C25217">
        <w:rPr>
          <w:i/>
          <w:iCs/>
          <w:lang w:val="es-ES_tradnl" w:eastAsia="es-ES"/>
        </w:rPr>
        <w:t>trails</w:t>
      </w:r>
      <w:proofErr w:type="spellEnd"/>
      <w:r w:rsidR="00C25217" w:rsidRPr="00C25217">
        <w:rPr>
          <w:lang w:val="es-ES_tradnl" w:eastAsia="es-ES"/>
        </w:rPr>
        <w:t xml:space="preserve"> o estelas de condensación) persistentes y las partículas de </w:t>
      </w:r>
      <w:proofErr w:type="spellStart"/>
      <w:r w:rsidR="00C25217" w:rsidRPr="00C25217">
        <w:rPr>
          <w:lang w:val="es-ES_tradnl" w:eastAsia="es-ES"/>
        </w:rPr>
        <w:t>NOx</w:t>
      </w:r>
      <w:proofErr w:type="spellEnd"/>
      <w:r w:rsidR="00C25217" w:rsidRPr="00C25217">
        <w:rPr>
          <w:lang w:val="es-ES_tradnl" w:eastAsia="es-ES"/>
        </w:rPr>
        <w:t>, cuyo sistema estará operativo en 2025</w:t>
      </w:r>
      <w:r w:rsidR="00C25217">
        <w:rPr>
          <w:lang w:val="es-ES_tradnl" w:eastAsia="es-ES"/>
        </w:rPr>
        <w:t>.</w:t>
      </w:r>
    </w:p>
    <w:p w14:paraId="6D8D28FB" w14:textId="313E8D73" w:rsidR="00FA3C3A" w:rsidRDefault="00FA3C3A" w:rsidP="00FA3C3A">
      <w:pPr>
        <w:pStyle w:val="3Subttulo"/>
      </w:pPr>
      <w:bookmarkStart w:id="12" w:name="_Toc186440726"/>
      <w:r>
        <w:t>Transporte ferroviario</w:t>
      </w:r>
      <w:bookmarkEnd w:id="12"/>
    </w:p>
    <w:tbl>
      <w:tblPr>
        <w:tblStyle w:val="Tablaconcuadrcula"/>
        <w:tblW w:w="0" w:type="auto"/>
        <w:tblCellMar>
          <w:top w:w="170" w:type="dxa"/>
          <w:bottom w:w="85" w:type="dxa"/>
        </w:tblCellMar>
        <w:tblLook w:val="04A0" w:firstRow="1" w:lastRow="0" w:firstColumn="1" w:lastColumn="0" w:noHBand="0" w:noVBand="1"/>
      </w:tblPr>
      <w:tblGrid>
        <w:gridCol w:w="9040"/>
      </w:tblGrid>
      <w:tr w:rsidR="00D41E25" w14:paraId="2183F70D" w14:textId="77777777" w:rsidTr="00417901">
        <w:tc>
          <w:tcPr>
            <w:tcW w:w="9060" w:type="dxa"/>
            <w:tcBorders>
              <w:top w:val="dotDash" w:sz="12" w:space="0" w:color="1D3C5A"/>
              <w:left w:val="dotDash" w:sz="12" w:space="0" w:color="1D3C5A"/>
              <w:bottom w:val="dotDash" w:sz="12" w:space="0" w:color="1D3C5A"/>
              <w:right w:val="dotDash" w:sz="12" w:space="0" w:color="1D3C5A"/>
            </w:tcBorders>
            <w:vAlign w:val="center"/>
          </w:tcPr>
          <w:p w14:paraId="2FAD2A72" w14:textId="1C270C3C" w:rsidR="00D41E25" w:rsidRPr="001B41F5" w:rsidRDefault="00D41E25" w:rsidP="00002BC2">
            <w:pPr>
              <w:pStyle w:val="5GlobalFactor"/>
              <w:numPr>
                <w:ilvl w:val="0"/>
                <w:numId w:val="71"/>
              </w:numPr>
              <w:jc w:val="left"/>
              <w:rPr>
                <w:b/>
                <w:bCs/>
                <w:lang w:val="es-ES_tradnl" w:eastAsia="es-ES"/>
              </w:rPr>
            </w:pPr>
            <w:r w:rsidRPr="00D41E25">
              <w:rPr>
                <w:b/>
                <w:bCs/>
                <w:lang w:val="es-ES_tradnl" w:eastAsia="es-ES"/>
              </w:rPr>
              <w:t xml:space="preserve">Reglamento </w:t>
            </w:r>
            <w:proofErr w:type="gramStart"/>
            <w:r w:rsidRPr="00D41E25">
              <w:rPr>
                <w:b/>
                <w:bCs/>
                <w:lang w:val="es-ES_tradnl" w:eastAsia="es-ES"/>
              </w:rPr>
              <w:t>Delegado</w:t>
            </w:r>
            <w:proofErr w:type="gramEnd"/>
            <w:r w:rsidRPr="00D41E25">
              <w:rPr>
                <w:b/>
                <w:bCs/>
                <w:lang w:val="es-ES_tradnl" w:eastAsia="es-ES"/>
              </w:rPr>
              <w:t xml:space="preserve"> 2021/2139 sobre criterios técnicos para considerar que una actividad económica contribuye a la mitigación del cambio climático</w:t>
            </w:r>
          </w:p>
          <w:p w14:paraId="764A7553" w14:textId="58965872" w:rsidR="00D41E25" w:rsidRPr="00DB06C6" w:rsidRDefault="00D41E25" w:rsidP="00002BC2">
            <w:pPr>
              <w:pStyle w:val="5GlobalFactor"/>
              <w:numPr>
                <w:ilvl w:val="1"/>
                <w:numId w:val="71"/>
              </w:numPr>
              <w:jc w:val="left"/>
              <w:rPr>
                <w:b/>
                <w:bCs/>
                <w:lang w:val="es-ES_tradnl" w:eastAsia="es-ES"/>
              </w:rPr>
            </w:pPr>
            <w:r w:rsidRPr="00D41E25">
              <w:rPr>
                <w:b/>
                <w:bCs/>
                <w:color w:val="C45911" w:themeColor="accent2" w:themeShade="BF"/>
                <w:lang w:val="es-ES_tradnl" w:eastAsia="es-ES"/>
              </w:rPr>
              <w:t xml:space="preserve">Reglamento </w:t>
            </w:r>
            <w:proofErr w:type="gramStart"/>
            <w:r w:rsidRPr="00D41E25">
              <w:rPr>
                <w:b/>
                <w:bCs/>
                <w:color w:val="C45911" w:themeColor="accent2" w:themeShade="BF"/>
                <w:lang w:val="es-ES_tradnl" w:eastAsia="es-ES"/>
              </w:rPr>
              <w:t>Delegado</w:t>
            </w:r>
            <w:proofErr w:type="gramEnd"/>
            <w:r w:rsidRPr="00D41E25">
              <w:rPr>
                <w:b/>
                <w:bCs/>
                <w:color w:val="C45911" w:themeColor="accent2" w:themeShade="BF"/>
                <w:lang w:val="es-ES_tradnl" w:eastAsia="es-ES"/>
              </w:rPr>
              <w:t xml:space="preserve"> (UE) 2023/2485</w:t>
            </w:r>
          </w:p>
        </w:tc>
      </w:tr>
    </w:tbl>
    <w:p w14:paraId="09AF567F" w14:textId="77777777" w:rsidR="00D41E25" w:rsidRDefault="00D41E25" w:rsidP="00FA3C3A">
      <w:pPr>
        <w:pStyle w:val="5GlobalFactor"/>
        <w:rPr>
          <w:lang w:val="es-ES_tradnl" w:eastAsia="es-ES"/>
        </w:rPr>
      </w:pPr>
    </w:p>
    <w:p w14:paraId="389F522B" w14:textId="30C2B3F1" w:rsidR="005A3B3B" w:rsidRDefault="005A3B3B" w:rsidP="00FA3C3A">
      <w:pPr>
        <w:pStyle w:val="5GlobalFactor"/>
        <w:rPr>
          <w:lang w:val="es-ES_tradnl" w:eastAsia="es-ES"/>
        </w:rPr>
      </w:pPr>
      <w:r>
        <w:rPr>
          <w:lang w:val="es-ES_tradnl" w:eastAsia="es-ES"/>
        </w:rPr>
        <w:t xml:space="preserve">El </w:t>
      </w:r>
      <w:r w:rsidRPr="005A3B3B">
        <w:rPr>
          <w:b/>
          <w:bCs/>
          <w:color w:val="C45911" w:themeColor="accent2" w:themeShade="BF"/>
          <w:lang w:val="es-ES_tradnl" w:eastAsia="es-ES"/>
        </w:rPr>
        <w:t xml:space="preserve">Reglamento </w:t>
      </w:r>
      <w:proofErr w:type="gramStart"/>
      <w:r w:rsidRPr="005A3B3B">
        <w:rPr>
          <w:b/>
          <w:bCs/>
          <w:color w:val="C45911" w:themeColor="accent2" w:themeShade="BF"/>
          <w:lang w:val="es-ES_tradnl" w:eastAsia="es-ES"/>
        </w:rPr>
        <w:t>Delegado</w:t>
      </w:r>
      <w:proofErr w:type="gramEnd"/>
      <w:r w:rsidRPr="005A3B3B">
        <w:rPr>
          <w:b/>
          <w:bCs/>
          <w:color w:val="C45911" w:themeColor="accent2" w:themeShade="BF"/>
          <w:lang w:val="es-ES_tradnl" w:eastAsia="es-ES"/>
        </w:rPr>
        <w:t xml:space="preserve"> (UE) 2023/2485</w:t>
      </w:r>
      <w:r>
        <w:rPr>
          <w:rStyle w:val="Refdenotaalpie"/>
          <w:lang w:val="es-ES_tradnl" w:eastAsia="es-ES"/>
        </w:rPr>
        <w:footnoteReference w:id="12"/>
      </w:r>
      <w:r>
        <w:rPr>
          <w:lang w:val="es-ES_tradnl" w:eastAsia="es-ES"/>
        </w:rPr>
        <w:t xml:space="preserve"> modifica el </w:t>
      </w:r>
      <w:r w:rsidRPr="005A3B3B">
        <w:rPr>
          <w:b/>
          <w:bCs/>
          <w:lang w:val="es-ES_tradnl" w:eastAsia="es-ES"/>
        </w:rPr>
        <w:t>Reglamento Delegado 2021/2139</w:t>
      </w:r>
      <w:r w:rsidRPr="005A3B3B">
        <w:rPr>
          <w:lang w:val="es-ES_tradnl" w:eastAsia="es-ES"/>
        </w:rPr>
        <w:t xml:space="preserve"> para introducir criterios técnicos adicionales y ajustar los existentes para determinar cuándo una actividad económica contribuye de manera sustancial a la mitigación del cambio climático</w:t>
      </w:r>
      <w:r>
        <w:rPr>
          <w:lang w:val="es-ES_tradnl" w:eastAsia="es-ES"/>
        </w:rPr>
        <w:t>.</w:t>
      </w:r>
    </w:p>
    <w:p w14:paraId="2B9FA3C2" w14:textId="77777777" w:rsidR="00F12FAE" w:rsidRDefault="00F12FAE" w:rsidP="00FA3C3A">
      <w:pPr>
        <w:pStyle w:val="5GlobalFactor"/>
        <w:rPr>
          <w:lang w:val="es-ES_tradnl" w:eastAsia="es-ES"/>
        </w:rPr>
      </w:pPr>
    </w:p>
    <w:p w14:paraId="41FF2DC9" w14:textId="2732A23D" w:rsidR="00FA3C3A" w:rsidRPr="00D41E25" w:rsidRDefault="00FA3C3A" w:rsidP="00FA3C3A">
      <w:pPr>
        <w:pStyle w:val="3Subttulo"/>
      </w:pPr>
      <w:bookmarkStart w:id="13" w:name="_Toc186440727"/>
      <w:r>
        <w:lastRenderedPageBreak/>
        <w:t>Transporte aéreo</w:t>
      </w:r>
      <w:bookmarkEnd w:id="13"/>
    </w:p>
    <w:tbl>
      <w:tblPr>
        <w:tblStyle w:val="Tablaconcuadrcula"/>
        <w:tblW w:w="0" w:type="auto"/>
        <w:tblCellMar>
          <w:top w:w="170" w:type="dxa"/>
          <w:bottom w:w="85" w:type="dxa"/>
        </w:tblCellMar>
        <w:tblLook w:val="04A0" w:firstRow="1" w:lastRow="0" w:firstColumn="1" w:lastColumn="0" w:noHBand="0" w:noVBand="1"/>
      </w:tblPr>
      <w:tblGrid>
        <w:gridCol w:w="9040"/>
      </w:tblGrid>
      <w:tr w:rsidR="00D41E25" w14:paraId="1AEF12F2" w14:textId="77777777" w:rsidTr="00417901">
        <w:tc>
          <w:tcPr>
            <w:tcW w:w="9060" w:type="dxa"/>
            <w:tcBorders>
              <w:top w:val="dotDash" w:sz="12" w:space="0" w:color="1D3C5A"/>
              <w:left w:val="dotDash" w:sz="12" w:space="0" w:color="1D3C5A"/>
              <w:bottom w:val="dotDash" w:sz="12" w:space="0" w:color="1D3C5A"/>
              <w:right w:val="dotDash" w:sz="12" w:space="0" w:color="1D3C5A"/>
            </w:tcBorders>
            <w:vAlign w:val="center"/>
          </w:tcPr>
          <w:p w14:paraId="1218C98E" w14:textId="77777777" w:rsidR="00D41E25" w:rsidRDefault="00D41E25" w:rsidP="00002BC2">
            <w:pPr>
              <w:pStyle w:val="5GlobalFactor"/>
              <w:numPr>
                <w:ilvl w:val="0"/>
                <w:numId w:val="71"/>
              </w:numPr>
              <w:jc w:val="left"/>
              <w:rPr>
                <w:b/>
                <w:bCs/>
                <w:lang w:val="es-ES_tradnl" w:eastAsia="es-ES"/>
              </w:rPr>
            </w:pPr>
            <w:r w:rsidRPr="00D41E25">
              <w:rPr>
                <w:b/>
                <w:bCs/>
                <w:lang w:val="es-ES_tradnl" w:eastAsia="es-ES"/>
              </w:rPr>
              <w:t xml:space="preserve">Acuerdo político sobre la aplicación del EU ETS a los vuelos </w:t>
            </w:r>
            <w:proofErr w:type="spellStart"/>
            <w:r w:rsidRPr="00D41E25">
              <w:rPr>
                <w:b/>
                <w:bCs/>
                <w:lang w:val="es-ES_tradnl" w:eastAsia="es-ES"/>
              </w:rPr>
              <w:t>intra-europeos</w:t>
            </w:r>
            <w:proofErr w:type="spellEnd"/>
            <w:r w:rsidRPr="00D41E25">
              <w:rPr>
                <w:b/>
                <w:bCs/>
                <w:lang w:val="es-ES_tradnl" w:eastAsia="es-ES"/>
              </w:rPr>
              <w:t xml:space="preserve"> y el Plan CORSIA a los extraeuropeos</w:t>
            </w:r>
          </w:p>
          <w:p w14:paraId="1EA256FA" w14:textId="77777777" w:rsidR="00D41E25" w:rsidRDefault="00D41E25" w:rsidP="00002BC2">
            <w:pPr>
              <w:pStyle w:val="5GlobalFactor"/>
              <w:numPr>
                <w:ilvl w:val="1"/>
                <w:numId w:val="71"/>
              </w:numPr>
              <w:jc w:val="left"/>
              <w:rPr>
                <w:b/>
                <w:bCs/>
                <w:lang w:val="es-ES_tradnl" w:eastAsia="es-ES"/>
              </w:rPr>
            </w:pPr>
            <w:r w:rsidRPr="00D41E25">
              <w:rPr>
                <w:b/>
                <w:bCs/>
                <w:color w:val="C45911" w:themeColor="accent2" w:themeShade="BF"/>
                <w:lang w:val="es-ES_tradnl" w:eastAsia="es-ES"/>
              </w:rPr>
              <w:t>Reglamento de Ejecución (UE) 2024/622</w:t>
            </w:r>
          </w:p>
          <w:p w14:paraId="5B9CA262" w14:textId="77777777" w:rsidR="00D41E25" w:rsidRDefault="00D41E25" w:rsidP="00002BC2">
            <w:pPr>
              <w:pStyle w:val="5GlobalFactor"/>
              <w:numPr>
                <w:ilvl w:val="0"/>
                <w:numId w:val="71"/>
              </w:numPr>
              <w:jc w:val="left"/>
              <w:rPr>
                <w:b/>
                <w:bCs/>
                <w:lang w:val="es-ES_tradnl" w:eastAsia="es-ES"/>
              </w:rPr>
            </w:pPr>
            <w:proofErr w:type="spellStart"/>
            <w:r w:rsidRPr="00D41E25">
              <w:rPr>
                <w:b/>
                <w:bCs/>
                <w:lang w:val="es-ES_tradnl" w:eastAsia="es-ES"/>
              </w:rPr>
              <w:t>ReFuel</w:t>
            </w:r>
            <w:proofErr w:type="spellEnd"/>
            <w:r w:rsidRPr="00D41E25">
              <w:rPr>
                <w:b/>
                <w:bCs/>
                <w:lang w:val="es-ES_tradnl" w:eastAsia="es-ES"/>
              </w:rPr>
              <w:t xml:space="preserve"> </w:t>
            </w:r>
            <w:proofErr w:type="spellStart"/>
            <w:r w:rsidRPr="00D41E25">
              <w:rPr>
                <w:b/>
                <w:bCs/>
                <w:lang w:val="es-ES_tradnl" w:eastAsia="es-ES"/>
              </w:rPr>
              <w:t>Aviation</w:t>
            </w:r>
            <w:proofErr w:type="spellEnd"/>
          </w:p>
          <w:p w14:paraId="2CD65FE1" w14:textId="3806315E" w:rsidR="00DD2051" w:rsidRPr="00DD2051" w:rsidRDefault="00D41E25" w:rsidP="00002BC2">
            <w:pPr>
              <w:pStyle w:val="5GlobalFactor"/>
              <w:numPr>
                <w:ilvl w:val="1"/>
                <w:numId w:val="71"/>
              </w:numPr>
              <w:jc w:val="left"/>
              <w:rPr>
                <w:b/>
                <w:bCs/>
                <w:lang w:val="es-ES_tradnl" w:eastAsia="es-ES"/>
              </w:rPr>
            </w:pPr>
            <w:r w:rsidRPr="00D41E25">
              <w:rPr>
                <w:b/>
                <w:bCs/>
                <w:color w:val="C45911" w:themeColor="accent2" w:themeShade="BF"/>
                <w:lang w:val="es-ES_tradnl" w:eastAsia="es-ES"/>
              </w:rPr>
              <w:t>Reglamento (UE) 2023/2405</w:t>
            </w:r>
          </w:p>
          <w:p w14:paraId="26A89B64" w14:textId="77777777" w:rsidR="00DD2051" w:rsidRDefault="00DD2051" w:rsidP="00002BC2">
            <w:pPr>
              <w:pStyle w:val="5GlobalFactor"/>
              <w:numPr>
                <w:ilvl w:val="0"/>
                <w:numId w:val="71"/>
              </w:numPr>
              <w:jc w:val="left"/>
              <w:rPr>
                <w:b/>
                <w:bCs/>
                <w:lang w:val="es-ES_tradnl" w:eastAsia="es-ES"/>
              </w:rPr>
            </w:pPr>
            <w:r>
              <w:rPr>
                <w:b/>
                <w:bCs/>
                <w:lang w:val="es-ES_tradnl" w:eastAsia="es-ES"/>
              </w:rPr>
              <w:t>EU ETS</w:t>
            </w:r>
          </w:p>
          <w:p w14:paraId="5B5F6279" w14:textId="40115A4B" w:rsidR="0001004B" w:rsidRPr="0001004B" w:rsidRDefault="0001004B" w:rsidP="00002BC2">
            <w:pPr>
              <w:pStyle w:val="5GlobalFactor"/>
              <w:numPr>
                <w:ilvl w:val="1"/>
                <w:numId w:val="71"/>
              </w:numPr>
              <w:jc w:val="left"/>
              <w:rPr>
                <w:b/>
                <w:bCs/>
                <w:lang w:val="es-ES_tradnl" w:eastAsia="es-ES"/>
              </w:rPr>
            </w:pPr>
            <w:r w:rsidRPr="0001004B">
              <w:rPr>
                <w:b/>
                <w:bCs/>
                <w:color w:val="C45911" w:themeColor="accent2" w:themeShade="BF"/>
                <w:lang w:val="es-ES_tradnl" w:eastAsia="es-ES"/>
              </w:rPr>
              <w:t>Decisión (UE) 2023/2440 relativa a la cantidad total de derechos de emisión para toda la Unión</w:t>
            </w:r>
          </w:p>
          <w:p w14:paraId="6E179D01" w14:textId="61036C52" w:rsidR="00DD2051" w:rsidRPr="001B41F5" w:rsidRDefault="00DD2051" w:rsidP="00002BC2">
            <w:pPr>
              <w:pStyle w:val="5GlobalFactor"/>
              <w:numPr>
                <w:ilvl w:val="1"/>
                <w:numId w:val="71"/>
              </w:numPr>
              <w:jc w:val="left"/>
              <w:rPr>
                <w:b/>
                <w:bCs/>
                <w:lang w:val="es-ES_tradnl" w:eastAsia="es-ES"/>
              </w:rPr>
            </w:pPr>
            <w:r w:rsidRPr="00DD2051">
              <w:rPr>
                <w:b/>
                <w:bCs/>
                <w:color w:val="C45911" w:themeColor="accent2" w:themeShade="BF"/>
                <w:lang w:val="es-ES_tradnl" w:eastAsia="es-ES"/>
              </w:rPr>
              <w:t>Reglamento de Ejecución (UE) 2024/2493</w:t>
            </w:r>
          </w:p>
        </w:tc>
      </w:tr>
    </w:tbl>
    <w:p w14:paraId="7FE2D2D7" w14:textId="77777777" w:rsidR="00D41E25" w:rsidRDefault="00D41E25" w:rsidP="00FA3C3A">
      <w:pPr>
        <w:pStyle w:val="5GlobalFactor"/>
        <w:rPr>
          <w:lang w:val="es-ES_tradnl" w:eastAsia="es-ES"/>
        </w:rPr>
      </w:pPr>
    </w:p>
    <w:p w14:paraId="0C645830" w14:textId="78E24E89" w:rsidR="00960963" w:rsidRDefault="00960963" w:rsidP="00FA3C3A">
      <w:pPr>
        <w:pStyle w:val="5GlobalFactor"/>
        <w:rPr>
          <w:lang w:val="es-ES_tradnl" w:eastAsia="es-ES"/>
        </w:rPr>
      </w:pPr>
      <w:r>
        <w:rPr>
          <w:lang w:val="es-ES_tradnl" w:eastAsia="es-ES"/>
        </w:rPr>
        <w:t xml:space="preserve">El </w:t>
      </w:r>
      <w:r w:rsidRPr="00960963">
        <w:rPr>
          <w:b/>
          <w:bCs/>
          <w:color w:val="C45911" w:themeColor="accent2" w:themeShade="BF"/>
          <w:lang w:val="es-ES_tradnl" w:eastAsia="es-ES"/>
        </w:rPr>
        <w:t>Reglamento de Ejecución (UE) 2024/622</w:t>
      </w:r>
      <w:r>
        <w:rPr>
          <w:rStyle w:val="Refdenotaalpie"/>
          <w:lang w:val="es-ES_tradnl" w:eastAsia="es-ES"/>
        </w:rPr>
        <w:footnoteReference w:id="13"/>
      </w:r>
      <w:r>
        <w:rPr>
          <w:lang w:val="es-ES_tradnl" w:eastAsia="es-ES"/>
        </w:rPr>
        <w:t xml:space="preserve"> establece la lista de estados que se </w:t>
      </w:r>
      <w:r w:rsidRPr="00960963">
        <w:rPr>
          <w:lang w:val="es-ES_tradnl" w:eastAsia="es-ES"/>
        </w:rPr>
        <w:t>considera que están aplicando el</w:t>
      </w:r>
      <w:r>
        <w:rPr>
          <w:lang w:val="es-ES_tradnl" w:eastAsia="es-ES"/>
        </w:rPr>
        <w:t xml:space="preserve"> </w:t>
      </w:r>
      <w:r w:rsidRPr="00960963">
        <w:rPr>
          <w:b/>
          <w:bCs/>
          <w:lang w:val="es-ES_tradnl" w:eastAsia="es-ES"/>
        </w:rPr>
        <w:t>Plan CORSIA</w:t>
      </w:r>
      <w:r w:rsidRPr="00960963">
        <w:rPr>
          <w:lang w:val="es-ES_tradnl" w:eastAsia="es-ES"/>
        </w:rPr>
        <w:t xml:space="preserve"> a efectos de la Directiva 2003/87/CE del Parlamento Europeo y del Consejo respecto a las emisiones de 2023. Esta lista se actualizará anualmente</w:t>
      </w:r>
      <w:r>
        <w:rPr>
          <w:lang w:val="es-ES_tradnl" w:eastAsia="es-ES"/>
        </w:rPr>
        <w:t>.</w:t>
      </w:r>
    </w:p>
    <w:p w14:paraId="202DE584" w14:textId="483FC24E" w:rsidR="00960963" w:rsidRDefault="00960963" w:rsidP="00FA3C3A">
      <w:pPr>
        <w:pStyle w:val="5GlobalFactor"/>
        <w:rPr>
          <w:lang w:val="es-ES_tradnl" w:eastAsia="es-ES"/>
        </w:rPr>
      </w:pPr>
      <w:r>
        <w:rPr>
          <w:lang w:val="es-ES_tradnl" w:eastAsia="es-ES"/>
        </w:rPr>
        <w:t xml:space="preserve">El </w:t>
      </w:r>
      <w:r w:rsidRPr="00167192">
        <w:rPr>
          <w:b/>
          <w:bCs/>
          <w:color w:val="C45911" w:themeColor="accent2" w:themeShade="BF"/>
          <w:lang w:val="es-ES_tradnl" w:eastAsia="es-ES"/>
        </w:rPr>
        <w:t>Reglamento (UE) 2023/2405</w:t>
      </w:r>
      <w:r>
        <w:rPr>
          <w:rStyle w:val="Refdenotaalpie"/>
          <w:lang w:val="es-ES_tradnl" w:eastAsia="es-ES"/>
        </w:rPr>
        <w:footnoteReference w:id="14"/>
      </w:r>
      <w:r w:rsidR="00167192">
        <w:rPr>
          <w:lang w:val="es-ES_tradnl" w:eastAsia="es-ES"/>
        </w:rPr>
        <w:t xml:space="preserve">, referido al </w:t>
      </w:r>
      <w:proofErr w:type="spellStart"/>
      <w:r w:rsidR="00167192" w:rsidRPr="00167192">
        <w:rPr>
          <w:b/>
          <w:bCs/>
          <w:lang w:val="es-ES_tradnl" w:eastAsia="es-ES"/>
        </w:rPr>
        <w:t>ReFuel</w:t>
      </w:r>
      <w:proofErr w:type="spellEnd"/>
      <w:r w:rsidR="00167192" w:rsidRPr="00167192">
        <w:rPr>
          <w:b/>
          <w:bCs/>
          <w:lang w:val="es-ES_tradnl" w:eastAsia="es-ES"/>
        </w:rPr>
        <w:t xml:space="preserve"> </w:t>
      </w:r>
      <w:proofErr w:type="spellStart"/>
      <w:r w:rsidR="00167192" w:rsidRPr="00167192">
        <w:rPr>
          <w:b/>
          <w:bCs/>
          <w:lang w:val="es-ES_tradnl" w:eastAsia="es-ES"/>
        </w:rPr>
        <w:t>Aviation</w:t>
      </w:r>
      <w:proofErr w:type="spellEnd"/>
      <w:r w:rsidR="00167192">
        <w:rPr>
          <w:lang w:val="es-ES_tradnl" w:eastAsia="es-ES"/>
        </w:rPr>
        <w:t xml:space="preserve">, </w:t>
      </w:r>
      <w:r w:rsidR="00167192" w:rsidRPr="00167192">
        <w:rPr>
          <w:lang w:val="es-ES_tradnl" w:eastAsia="es-ES"/>
        </w:rPr>
        <w:t>establece normas para garantizar condiciones de competencia equitativas en el transporte aéreo y promover la sostenibilidad en este sector. En particular, aborda el uso de combustibles sostenibles, la transparencia y el monitoreo de las emisiones y uso de los combustibles, medidas para garantizar la competencia equitativa, y la adaptación de la legislación a normativa y estándares internacionales (especialmente lo referido al Plan CORSIA)</w:t>
      </w:r>
      <w:r w:rsidR="00167192">
        <w:rPr>
          <w:lang w:val="es-ES_tradnl" w:eastAsia="es-ES"/>
        </w:rPr>
        <w:t>.</w:t>
      </w:r>
    </w:p>
    <w:p w14:paraId="0E0B471F" w14:textId="57D4CA54" w:rsidR="00167192" w:rsidRDefault="00167192" w:rsidP="00FA3C3A">
      <w:pPr>
        <w:pStyle w:val="5GlobalFactor"/>
        <w:rPr>
          <w:lang w:val="es-ES_tradnl" w:eastAsia="es-ES"/>
        </w:rPr>
      </w:pPr>
      <w:r>
        <w:rPr>
          <w:lang w:val="es-ES_tradnl" w:eastAsia="es-ES"/>
        </w:rPr>
        <w:t xml:space="preserve">La </w:t>
      </w:r>
      <w:r w:rsidRPr="0001004B">
        <w:rPr>
          <w:b/>
          <w:bCs/>
          <w:color w:val="C45911" w:themeColor="accent2" w:themeShade="BF"/>
          <w:lang w:val="es-ES_tradnl" w:eastAsia="es-ES"/>
        </w:rPr>
        <w:t>Decisión (UE) 2023/2440, relativa a la cantidad total de derechos de emisión para toda la Unión</w:t>
      </w:r>
      <w:r>
        <w:rPr>
          <w:rStyle w:val="Refdenotaalpie"/>
          <w:lang w:val="es-ES_tradnl" w:eastAsia="es-ES"/>
        </w:rPr>
        <w:footnoteReference w:id="15"/>
      </w:r>
      <w:r>
        <w:rPr>
          <w:lang w:val="es-ES_tradnl" w:eastAsia="es-ES"/>
        </w:rPr>
        <w:t xml:space="preserve">, establece </w:t>
      </w:r>
      <w:r w:rsidRPr="00167192">
        <w:rPr>
          <w:lang w:val="es-ES_tradnl" w:eastAsia="es-ES"/>
        </w:rPr>
        <w:t xml:space="preserve">la cantidad de derechos de emisión </w:t>
      </w:r>
      <w:r w:rsidR="0001004B">
        <w:rPr>
          <w:lang w:val="es-ES_tradnl" w:eastAsia="es-ES"/>
        </w:rPr>
        <w:t xml:space="preserve">en el marco del </w:t>
      </w:r>
      <w:r w:rsidR="0001004B" w:rsidRPr="0001004B">
        <w:rPr>
          <w:b/>
          <w:bCs/>
          <w:lang w:val="es-ES_tradnl" w:eastAsia="es-ES"/>
        </w:rPr>
        <w:t>EU ETS</w:t>
      </w:r>
      <w:r w:rsidR="0001004B">
        <w:rPr>
          <w:lang w:val="es-ES_tradnl" w:eastAsia="es-ES"/>
        </w:rPr>
        <w:t xml:space="preserve"> </w:t>
      </w:r>
      <w:r w:rsidRPr="00167192">
        <w:rPr>
          <w:lang w:val="es-ES_tradnl" w:eastAsia="es-ES"/>
        </w:rPr>
        <w:t>que se asignará a los operadores de aeronaves en el marco del régimen de comercio de derechos de emisión de la UE para 2024</w:t>
      </w:r>
      <w:r>
        <w:rPr>
          <w:lang w:val="es-ES_tradnl" w:eastAsia="es-ES"/>
        </w:rPr>
        <w:t>.</w:t>
      </w:r>
    </w:p>
    <w:p w14:paraId="0AF2CE32" w14:textId="07783F92" w:rsidR="00DD2051" w:rsidRDefault="00DD2051" w:rsidP="00FA3C3A">
      <w:pPr>
        <w:pStyle w:val="5GlobalFactor"/>
        <w:rPr>
          <w:lang w:val="es-ES_tradnl" w:eastAsia="es-ES"/>
        </w:rPr>
      </w:pPr>
      <w:r>
        <w:rPr>
          <w:lang w:val="es-ES_tradnl" w:eastAsia="es-ES"/>
        </w:rPr>
        <w:t xml:space="preserve">El </w:t>
      </w:r>
      <w:r w:rsidRPr="00DD2051">
        <w:rPr>
          <w:b/>
          <w:bCs/>
          <w:color w:val="C45911" w:themeColor="accent2" w:themeShade="BF"/>
          <w:lang w:val="es-ES_tradnl" w:eastAsia="es-ES"/>
        </w:rPr>
        <w:t>Reglamento de Ejecución (UE) 2024/2493</w:t>
      </w:r>
      <w:r>
        <w:rPr>
          <w:rStyle w:val="Refdenotaalpie"/>
          <w:lang w:val="es-ES_tradnl" w:eastAsia="es-ES"/>
        </w:rPr>
        <w:footnoteReference w:id="16"/>
      </w:r>
      <w:r>
        <w:rPr>
          <w:lang w:val="es-ES_tradnl" w:eastAsia="es-ES"/>
        </w:rPr>
        <w:t xml:space="preserve"> </w:t>
      </w:r>
      <w:r w:rsidRPr="00DD2051">
        <w:rPr>
          <w:lang w:val="es-ES_tradnl" w:eastAsia="es-ES"/>
        </w:rPr>
        <w:t xml:space="preserve">establece un marco para que los titulares de instalaciones y operadores de aeronaves sigan y notifiquen las emisiones de gases de efecto invernadero, conforme </w:t>
      </w:r>
      <w:r>
        <w:rPr>
          <w:lang w:val="es-ES_tradnl" w:eastAsia="es-ES"/>
        </w:rPr>
        <w:t xml:space="preserve">al </w:t>
      </w:r>
      <w:r w:rsidRPr="00DD2051">
        <w:rPr>
          <w:b/>
          <w:bCs/>
          <w:lang w:val="es-ES_tradnl" w:eastAsia="es-ES"/>
        </w:rPr>
        <w:t>EU ETS</w:t>
      </w:r>
      <w:r>
        <w:rPr>
          <w:lang w:val="es-ES_tradnl" w:eastAsia="es-ES"/>
        </w:rPr>
        <w:t xml:space="preserve">. </w:t>
      </w:r>
      <w:r w:rsidRPr="00DD2051">
        <w:rPr>
          <w:lang w:val="es-ES_tradnl" w:eastAsia="es-ES"/>
        </w:rPr>
        <w:t>Destaca la necesidad de procesos exhaustivos y transparentes, asegurando la coherencia, exactitud e integridad de los datos, y evitando errores y la doble contabilización</w:t>
      </w:r>
      <w:r>
        <w:rPr>
          <w:lang w:val="es-ES_tradnl" w:eastAsia="es-ES"/>
        </w:rPr>
        <w:t>.</w:t>
      </w:r>
    </w:p>
    <w:p w14:paraId="02981D21" w14:textId="7B3BD702" w:rsidR="00FA3C3A" w:rsidRDefault="00FA3C3A" w:rsidP="00FA3C3A">
      <w:pPr>
        <w:pStyle w:val="3Subttulo"/>
      </w:pPr>
      <w:bookmarkStart w:id="14" w:name="_Toc186440728"/>
      <w:r>
        <w:t>Transporte por carretera</w:t>
      </w:r>
      <w:bookmarkEnd w:id="14"/>
    </w:p>
    <w:tbl>
      <w:tblPr>
        <w:tblStyle w:val="Tablaconcuadrcula"/>
        <w:tblW w:w="0" w:type="auto"/>
        <w:tblCellMar>
          <w:top w:w="170" w:type="dxa"/>
          <w:bottom w:w="85" w:type="dxa"/>
        </w:tblCellMar>
        <w:tblLook w:val="04A0" w:firstRow="1" w:lastRow="0" w:firstColumn="1" w:lastColumn="0" w:noHBand="0" w:noVBand="1"/>
      </w:tblPr>
      <w:tblGrid>
        <w:gridCol w:w="9040"/>
      </w:tblGrid>
      <w:tr w:rsidR="00D41E25" w14:paraId="3E2AB2A4" w14:textId="77777777" w:rsidTr="00417901">
        <w:tc>
          <w:tcPr>
            <w:tcW w:w="9060" w:type="dxa"/>
            <w:tcBorders>
              <w:top w:val="dotDash" w:sz="12" w:space="0" w:color="1D3C5A"/>
              <w:left w:val="dotDash" w:sz="12" w:space="0" w:color="1D3C5A"/>
              <w:bottom w:val="dotDash" w:sz="12" w:space="0" w:color="1D3C5A"/>
              <w:right w:val="dotDash" w:sz="12" w:space="0" w:color="1D3C5A"/>
            </w:tcBorders>
            <w:vAlign w:val="center"/>
          </w:tcPr>
          <w:p w14:paraId="5907E070" w14:textId="7E55C9E3" w:rsidR="00D41E25" w:rsidRPr="001B41F5" w:rsidRDefault="00D41E25" w:rsidP="00002BC2">
            <w:pPr>
              <w:pStyle w:val="5GlobalFactor"/>
              <w:numPr>
                <w:ilvl w:val="0"/>
                <w:numId w:val="71"/>
              </w:numPr>
              <w:jc w:val="left"/>
              <w:rPr>
                <w:b/>
                <w:bCs/>
                <w:lang w:val="es-ES_tradnl" w:eastAsia="es-ES"/>
              </w:rPr>
            </w:pPr>
            <w:r w:rsidRPr="00D41E25">
              <w:rPr>
                <w:b/>
                <w:bCs/>
                <w:lang w:val="es-ES_tradnl" w:eastAsia="es-ES"/>
              </w:rPr>
              <w:t>Reglamento (UE) 2019/1242 por el que se establecen normas de comportamiento en materia de emisiones de CO</w:t>
            </w:r>
            <w:r w:rsidRPr="00A55766">
              <w:rPr>
                <w:b/>
                <w:bCs/>
                <w:vertAlign w:val="subscript"/>
                <w:lang w:val="es-ES_tradnl" w:eastAsia="es-ES"/>
              </w:rPr>
              <w:t>2</w:t>
            </w:r>
            <w:r w:rsidRPr="00D41E25">
              <w:rPr>
                <w:b/>
                <w:bCs/>
                <w:lang w:val="es-ES_tradnl" w:eastAsia="es-ES"/>
              </w:rPr>
              <w:t xml:space="preserve"> para vehículos pesados nuevos</w:t>
            </w:r>
          </w:p>
          <w:p w14:paraId="1E3A0035" w14:textId="580B468C" w:rsidR="00D41E25" w:rsidRPr="00D41E25" w:rsidRDefault="00D41E25" w:rsidP="00002BC2">
            <w:pPr>
              <w:pStyle w:val="5GlobalFactor"/>
              <w:numPr>
                <w:ilvl w:val="1"/>
                <w:numId w:val="71"/>
              </w:numPr>
              <w:jc w:val="left"/>
              <w:rPr>
                <w:b/>
                <w:bCs/>
                <w:lang w:val="es-ES_tradnl" w:eastAsia="es-ES"/>
              </w:rPr>
            </w:pPr>
            <w:r w:rsidRPr="00D41E25">
              <w:rPr>
                <w:b/>
                <w:bCs/>
                <w:color w:val="C45911" w:themeColor="accent2" w:themeShade="BF"/>
                <w:lang w:val="es-ES_tradnl" w:eastAsia="es-ES"/>
              </w:rPr>
              <w:lastRenderedPageBreak/>
              <w:t>Reglamento (UE) 2024/1610</w:t>
            </w:r>
          </w:p>
          <w:p w14:paraId="2AE74DE3" w14:textId="09EDCFE8" w:rsidR="00D41E25" w:rsidRPr="00690222" w:rsidRDefault="00D41E25" w:rsidP="00002BC2">
            <w:pPr>
              <w:pStyle w:val="5GlobalFactor"/>
              <w:numPr>
                <w:ilvl w:val="1"/>
                <w:numId w:val="71"/>
              </w:numPr>
              <w:jc w:val="left"/>
              <w:rPr>
                <w:b/>
                <w:bCs/>
                <w:lang w:val="es-ES_tradnl" w:eastAsia="es-ES"/>
              </w:rPr>
            </w:pPr>
            <w:r w:rsidRPr="00D41E25">
              <w:rPr>
                <w:b/>
                <w:bCs/>
                <w:color w:val="C45911" w:themeColor="accent2" w:themeShade="BF"/>
                <w:lang w:val="es-ES_tradnl" w:eastAsia="es-ES"/>
              </w:rPr>
              <w:t xml:space="preserve">Reglamento </w:t>
            </w:r>
            <w:proofErr w:type="gramStart"/>
            <w:r w:rsidRPr="00D41E25">
              <w:rPr>
                <w:b/>
                <w:bCs/>
                <w:color w:val="C45911" w:themeColor="accent2" w:themeShade="BF"/>
                <w:lang w:val="es-ES_tradnl" w:eastAsia="es-ES"/>
              </w:rPr>
              <w:t>Delegado</w:t>
            </w:r>
            <w:proofErr w:type="gramEnd"/>
            <w:r w:rsidRPr="00D41E25">
              <w:rPr>
                <w:b/>
                <w:bCs/>
                <w:color w:val="C45911" w:themeColor="accent2" w:themeShade="BF"/>
                <w:lang w:val="es-ES_tradnl" w:eastAsia="es-ES"/>
              </w:rPr>
              <w:t xml:space="preserve"> (UE) 2024/1127</w:t>
            </w:r>
          </w:p>
          <w:p w14:paraId="50B9B57E" w14:textId="226E7A73" w:rsidR="00690222" w:rsidRPr="001B41F5" w:rsidRDefault="00690222" w:rsidP="00002BC2">
            <w:pPr>
              <w:pStyle w:val="5GlobalFactor"/>
              <w:numPr>
                <w:ilvl w:val="1"/>
                <w:numId w:val="71"/>
              </w:numPr>
              <w:jc w:val="left"/>
              <w:rPr>
                <w:b/>
                <w:bCs/>
                <w:lang w:val="es-ES_tradnl" w:eastAsia="es-ES"/>
              </w:rPr>
            </w:pPr>
            <w:r w:rsidRPr="00690222">
              <w:rPr>
                <w:b/>
                <w:bCs/>
                <w:color w:val="C45911" w:themeColor="accent2" w:themeShade="BF"/>
                <w:lang w:val="es-ES_tradnl" w:eastAsia="es-ES"/>
              </w:rPr>
              <w:t>Decisión de Ejecución (UE) 2024/2165</w:t>
            </w:r>
          </w:p>
          <w:p w14:paraId="3226AABA" w14:textId="5CA2B9D1" w:rsidR="00D41E25" w:rsidRDefault="00D41E25" w:rsidP="00002BC2">
            <w:pPr>
              <w:pStyle w:val="5GlobalFactor"/>
              <w:numPr>
                <w:ilvl w:val="0"/>
                <w:numId w:val="71"/>
              </w:numPr>
              <w:jc w:val="left"/>
              <w:rPr>
                <w:b/>
                <w:bCs/>
                <w:lang w:val="es-ES_tradnl" w:eastAsia="es-ES"/>
              </w:rPr>
            </w:pPr>
            <w:r w:rsidRPr="00D41E25">
              <w:rPr>
                <w:b/>
                <w:bCs/>
                <w:lang w:val="es-ES_tradnl" w:eastAsia="es-ES"/>
              </w:rPr>
              <w:t xml:space="preserve">Reglamento </w:t>
            </w:r>
            <w:proofErr w:type="gramStart"/>
            <w:r w:rsidRPr="00D41E25">
              <w:rPr>
                <w:b/>
                <w:bCs/>
                <w:lang w:val="es-ES_tradnl" w:eastAsia="es-ES"/>
              </w:rPr>
              <w:t>Delegado</w:t>
            </w:r>
            <w:proofErr w:type="gramEnd"/>
            <w:r w:rsidRPr="00D41E25">
              <w:rPr>
                <w:b/>
                <w:bCs/>
                <w:lang w:val="es-ES_tradnl" w:eastAsia="es-ES"/>
              </w:rPr>
              <w:t xml:space="preserve"> 2021/2139 </w:t>
            </w:r>
            <w:r w:rsidRPr="0058397D">
              <w:rPr>
                <w:b/>
                <w:bCs/>
                <w:lang w:val="es-ES_tradnl" w:eastAsia="es-ES"/>
              </w:rPr>
              <w:t>sobre c</w:t>
            </w:r>
            <w:r w:rsidRPr="00D41E25">
              <w:rPr>
                <w:b/>
                <w:bCs/>
                <w:lang w:val="es-ES_tradnl" w:eastAsia="es-ES"/>
              </w:rPr>
              <w:t>riterios técnicos para considerar que una actividad económica contribuye a la mitigación del cambio climático</w:t>
            </w:r>
          </w:p>
          <w:p w14:paraId="570BEA53" w14:textId="77777777" w:rsidR="008F250B" w:rsidRPr="0058397D" w:rsidRDefault="00D41E25" w:rsidP="00002BC2">
            <w:pPr>
              <w:pStyle w:val="5GlobalFactor"/>
              <w:numPr>
                <w:ilvl w:val="1"/>
                <w:numId w:val="71"/>
              </w:numPr>
              <w:jc w:val="left"/>
              <w:rPr>
                <w:b/>
                <w:bCs/>
                <w:lang w:val="es-ES_tradnl" w:eastAsia="es-ES"/>
              </w:rPr>
            </w:pPr>
            <w:r w:rsidRPr="00D41E25">
              <w:rPr>
                <w:b/>
                <w:bCs/>
                <w:color w:val="C45911" w:themeColor="accent2" w:themeShade="BF"/>
                <w:lang w:val="es-ES_tradnl" w:eastAsia="es-ES"/>
              </w:rPr>
              <w:t xml:space="preserve">Reglamento </w:t>
            </w:r>
            <w:proofErr w:type="gramStart"/>
            <w:r w:rsidRPr="00D41E25">
              <w:rPr>
                <w:b/>
                <w:bCs/>
                <w:color w:val="C45911" w:themeColor="accent2" w:themeShade="BF"/>
                <w:lang w:val="es-ES_tradnl" w:eastAsia="es-ES"/>
              </w:rPr>
              <w:t>Delegado</w:t>
            </w:r>
            <w:proofErr w:type="gramEnd"/>
            <w:r w:rsidRPr="00D41E25">
              <w:rPr>
                <w:b/>
                <w:bCs/>
                <w:color w:val="C45911" w:themeColor="accent2" w:themeShade="BF"/>
                <w:lang w:val="es-ES_tradnl" w:eastAsia="es-ES"/>
              </w:rPr>
              <w:t xml:space="preserve"> (UE) 2023/2485</w:t>
            </w:r>
          </w:p>
          <w:p w14:paraId="0E25B022" w14:textId="77777777" w:rsidR="0058397D" w:rsidRDefault="0058397D" w:rsidP="00002BC2">
            <w:pPr>
              <w:pStyle w:val="5GlobalFactor"/>
              <w:numPr>
                <w:ilvl w:val="0"/>
                <w:numId w:val="71"/>
              </w:numPr>
              <w:jc w:val="left"/>
              <w:rPr>
                <w:b/>
                <w:bCs/>
                <w:lang w:val="es-ES_tradnl" w:eastAsia="es-ES"/>
              </w:rPr>
            </w:pPr>
            <w:r w:rsidRPr="0058397D">
              <w:rPr>
                <w:b/>
                <w:bCs/>
                <w:lang w:val="es-ES_tradnl" w:eastAsia="es-ES"/>
              </w:rPr>
              <w:t>EU ETS</w:t>
            </w:r>
          </w:p>
          <w:p w14:paraId="2D4B55E3" w14:textId="28AABCBF" w:rsidR="0058397D" w:rsidRPr="008F250B" w:rsidRDefault="0058397D" w:rsidP="00002BC2">
            <w:pPr>
              <w:pStyle w:val="5GlobalFactor"/>
              <w:numPr>
                <w:ilvl w:val="1"/>
                <w:numId w:val="71"/>
              </w:numPr>
              <w:jc w:val="left"/>
              <w:rPr>
                <w:b/>
                <w:bCs/>
                <w:lang w:val="es-ES_tradnl" w:eastAsia="es-ES"/>
              </w:rPr>
            </w:pPr>
            <w:r w:rsidRPr="0058397D">
              <w:rPr>
                <w:b/>
                <w:bCs/>
                <w:color w:val="C45911" w:themeColor="accent2" w:themeShade="BF"/>
                <w:lang w:val="es-ES_tradnl" w:eastAsia="es-ES"/>
              </w:rPr>
              <w:t>Decisión (UE) 2024/2951</w:t>
            </w:r>
          </w:p>
        </w:tc>
      </w:tr>
    </w:tbl>
    <w:p w14:paraId="44C13FBE" w14:textId="77777777" w:rsidR="00D41E25" w:rsidRDefault="00D41E25" w:rsidP="00FA3C3A">
      <w:pPr>
        <w:pStyle w:val="5GlobalFactor"/>
        <w:rPr>
          <w:lang w:val="es-ES_tradnl" w:eastAsia="es-ES"/>
        </w:rPr>
      </w:pPr>
    </w:p>
    <w:p w14:paraId="5CE37EBD" w14:textId="2E2F2407" w:rsidR="00167192" w:rsidRDefault="00167192" w:rsidP="00FA3C3A">
      <w:pPr>
        <w:pStyle w:val="5GlobalFactor"/>
        <w:rPr>
          <w:lang w:val="es-ES_tradnl" w:eastAsia="es-ES"/>
        </w:rPr>
      </w:pPr>
      <w:r>
        <w:rPr>
          <w:lang w:val="es-ES_tradnl" w:eastAsia="es-ES"/>
        </w:rPr>
        <w:t xml:space="preserve">El </w:t>
      </w:r>
      <w:r w:rsidRPr="00167192">
        <w:rPr>
          <w:b/>
          <w:bCs/>
          <w:color w:val="C45911" w:themeColor="accent2" w:themeShade="BF"/>
          <w:lang w:val="es-ES_tradnl" w:eastAsia="es-ES"/>
        </w:rPr>
        <w:t>Reglamento (UE) 2024/1610</w:t>
      </w:r>
      <w:r>
        <w:rPr>
          <w:rStyle w:val="Refdenotaalpie"/>
          <w:lang w:val="es-ES_tradnl" w:eastAsia="es-ES"/>
        </w:rPr>
        <w:footnoteReference w:id="17"/>
      </w:r>
      <w:r>
        <w:rPr>
          <w:lang w:val="es-ES_tradnl" w:eastAsia="es-ES"/>
        </w:rPr>
        <w:t xml:space="preserve"> </w:t>
      </w:r>
      <w:r w:rsidRPr="00167192">
        <w:rPr>
          <w:lang w:val="es-ES_tradnl" w:eastAsia="es-ES"/>
        </w:rPr>
        <w:t xml:space="preserve">modifica el </w:t>
      </w:r>
      <w:r w:rsidRPr="00167192">
        <w:rPr>
          <w:b/>
          <w:bCs/>
          <w:lang w:val="es-ES_tradnl" w:eastAsia="es-ES"/>
        </w:rPr>
        <w:t>Reglamento (UE) 2019/1242</w:t>
      </w:r>
      <w:r w:rsidRPr="00167192">
        <w:rPr>
          <w:lang w:val="es-ES_tradnl" w:eastAsia="es-ES"/>
        </w:rPr>
        <w:t xml:space="preserve"> para reforzar las normas de emisiones de CO</w:t>
      </w:r>
      <w:r w:rsidRPr="00167192">
        <w:rPr>
          <w:vertAlign w:val="subscript"/>
          <w:lang w:val="es-ES_tradnl" w:eastAsia="es-ES"/>
        </w:rPr>
        <w:t>2</w:t>
      </w:r>
      <w:r w:rsidRPr="00167192">
        <w:rPr>
          <w:lang w:val="es-ES_tradnl" w:eastAsia="es-ES"/>
        </w:rPr>
        <w:t xml:space="preserve"> para vehículos pesados nuevos y establecer nuevas obligaciones de comunicación</w:t>
      </w:r>
      <w:r>
        <w:rPr>
          <w:lang w:val="es-ES_tradnl" w:eastAsia="es-ES"/>
        </w:rPr>
        <w:t xml:space="preserve">. Por otro lado, el </w:t>
      </w:r>
      <w:r w:rsidRPr="00167192">
        <w:rPr>
          <w:b/>
          <w:bCs/>
          <w:color w:val="C45911" w:themeColor="accent2" w:themeShade="BF"/>
          <w:lang w:val="es-ES_tradnl" w:eastAsia="es-ES"/>
        </w:rPr>
        <w:t xml:space="preserve">Reglamento </w:t>
      </w:r>
      <w:proofErr w:type="gramStart"/>
      <w:r w:rsidRPr="00167192">
        <w:rPr>
          <w:b/>
          <w:bCs/>
          <w:color w:val="C45911" w:themeColor="accent2" w:themeShade="BF"/>
          <w:lang w:val="es-ES_tradnl" w:eastAsia="es-ES"/>
        </w:rPr>
        <w:t>Delegado</w:t>
      </w:r>
      <w:proofErr w:type="gramEnd"/>
      <w:r w:rsidRPr="00167192">
        <w:rPr>
          <w:b/>
          <w:bCs/>
          <w:color w:val="C45911" w:themeColor="accent2" w:themeShade="BF"/>
          <w:lang w:val="es-ES_tradnl" w:eastAsia="es-ES"/>
        </w:rPr>
        <w:t xml:space="preserve"> (UE) 2024/1127</w:t>
      </w:r>
      <w:r>
        <w:rPr>
          <w:rStyle w:val="Refdenotaalpie"/>
          <w:lang w:val="es-ES_tradnl" w:eastAsia="es-ES"/>
        </w:rPr>
        <w:footnoteReference w:id="18"/>
      </w:r>
      <w:r>
        <w:rPr>
          <w:lang w:val="es-ES_tradnl" w:eastAsia="es-ES"/>
        </w:rPr>
        <w:t xml:space="preserve"> </w:t>
      </w:r>
      <w:r w:rsidRPr="00167192">
        <w:rPr>
          <w:lang w:val="es-ES_tradnl" w:eastAsia="es-ES"/>
        </w:rPr>
        <w:t>establece las normas y criterios</w:t>
      </w:r>
      <w:r>
        <w:rPr>
          <w:lang w:val="es-ES_tradnl" w:eastAsia="es-ES"/>
        </w:rPr>
        <w:t xml:space="preserve"> de ese mismo reglamento</w:t>
      </w:r>
      <w:r w:rsidRPr="00167192">
        <w:rPr>
          <w:lang w:val="es-ES_tradnl" w:eastAsia="es-ES"/>
        </w:rPr>
        <w:t xml:space="preserve"> para verificar las emisiones de CO</w:t>
      </w:r>
      <w:r w:rsidRPr="00167192">
        <w:rPr>
          <w:vertAlign w:val="subscript"/>
          <w:lang w:val="es-ES_tradnl" w:eastAsia="es-ES"/>
        </w:rPr>
        <w:t xml:space="preserve">2 </w:t>
      </w:r>
      <w:r w:rsidRPr="00167192">
        <w:rPr>
          <w:lang w:val="es-ES_tradnl" w:eastAsia="es-ES"/>
        </w:rPr>
        <w:t>y el consumo de combustible de los vehículos pesados en circulación</w:t>
      </w:r>
      <w:r>
        <w:rPr>
          <w:lang w:val="es-ES_tradnl" w:eastAsia="es-ES"/>
        </w:rPr>
        <w:t>.</w:t>
      </w:r>
      <w:r w:rsidR="00690222">
        <w:rPr>
          <w:lang w:val="es-ES_tradnl" w:eastAsia="es-ES"/>
        </w:rPr>
        <w:t xml:space="preserve"> Además, </w:t>
      </w:r>
      <w:r w:rsidR="00690222" w:rsidRPr="00690222">
        <w:rPr>
          <w:b/>
          <w:bCs/>
          <w:color w:val="C45911" w:themeColor="accent2" w:themeShade="BF"/>
          <w:lang w:val="es-ES_tradnl" w:eastAsia="es-ES"/>
        </w:rPr>
        <w:t>Decisión de Ejecución (UE) 2024/2165</w:t>
      </w:r>
      <w:r w:rsidR="00690222">
        <w:rPr>
          <w:rStyle w:val="Refdenotaalpie"/>
          <w:lang w:val="es-ES_tradnl" w:eastAsia="es-ES"/>
        </w:rPr>
        <w:footnoteReference w:id="19"/>
      </w:r>
      <w:r w:rsidR="00690222">
        <w:rPr>
          <w:lang w:val="es-ES_tradnl" w:eastAsia="es-ES"/>
        </w:rPr>
        <w:t xml:space="preserve"> </w:t>
      </w:r>
      <w:r w:rsidR="00690222" w:rsidRPr="00690222">
        <w:rPr>
          <w:lang w:val="es-ES_tradnl" w:eastAsia="es-ES"/>
        </w:rPr>
        <w:t>establece las emisiones específicas medias de CO</w:t>
      </w:r>
      <w:r w:rsidR="00690222" w:rsidRPr="00690222">
        <w:rPr>
          <w:vertAlign w:val="subscript"/>
          <w:lang w:val="es-ES_tradnl" w:eastAsia="es-ES"/>
        </w:rPr>
        <w:t>2</w:t>
      </w:r>
      <w:r w:rsidR="00690222" w:rsidRPr="00690222">
        <w:rPr>
          <w:lang w:val="es-ES_tradnl" w:eastAsia="es-ES"/>
        </w:rPr>
        <w:t xml:space="preserve"> para vehículos pesados nuevos en la Unión Europea, según los datos comunicados por los Estados miembros y fabricantes, conforme al Reglamento (UE) 2018/956</w:t>
      </w:r>
      <w:r w:rsidR="00690222">
        <w:rPr>
          <w:lang w:val="es-ES_tradnl" w:eastAsia="es-ES"/>
        </w:rPr>
        <w:t>.</w:t>
      </w:r>
    </w:p>
    <w:p w14:paraId="536E168E" w14:textId="3208857F" w:rsidR="00167192" w:rsidRDefault="00C6068F" w:rsidP="00FA3C3A">
      <w:pPr>
        <w:pStyle w:val="5GlobalFactor"/>
        <w:rPr>
          <w:lang w:val="es-ES_tradnl" w:eastAsia="es-ES"/>
        </w:rPr>
      </w:pPr>
      <w:r>
        <w:rPr>
          <w:lang w:val="es-ES_tradnl" w:eastAsia="es-ES"/>
        </w:rPr>
        <w:t xml:space="preserve">El </w:t>
      </w:r>
      <w:r w:rsidRPr="00C6068F">
        <w:rPr>
          <w:b/>
          <w:bCs/>
          <w:color w:val="C45911" w:themeColor="accent2" w:themeShade="BF"/>
          <w:lang w:val="es-ES_tradnl" w:eastAsia="es-ES"/>
        </w:rPr>
        <w:t xml:space="preserve">Reglamento </w:t>
      </w:r>
      <w:proofErr w:type="gramStart"/>
      <w:r w:rsidRPr="00C6068F">
        <w:rPr>
          <w:b/>
          <w:bCs/>
          <w:color w:val="C45911" w:themeColor="accent2" w:themeShade="BF"/>
          <w:lang w:val="es-ES_tradnl" w:eastAsia="es-ES"/>
        </w:rPr>
        <w:t>Delegado</w:t>
      </w:r>
      <w:proofErr w:type="gramEnd"/>
      <w:r w:rsidRPr="00C6068F">
        <w:rPr>
          <w:b/>
          <w:bCs/>
          <w:color w:val="C45911" w:themeColor="accent2" w:themeShade="BF"/>
          <w:lang w:val="es-ES_tradnl" w:eastAsia="es-ES"/>
        </w:rPr>
        <w:t xml:space="preserve"> (UE) 2023/2485</w:t>
      </w:r>
      <w:r>
        <w:rPr>
          <w:rStyle w:val="Refdenotaalpie"/>
          <w:lang w:val="es-ES_tradnl" w:eastAsia="es-ES"/>
        </w:rPr>
        <w:footnoteReference w:id="20"/>
      </w:r>
      <w:r>
        <w:rPr>
          <w:lang w:val="es-ES_tradnl" w:eastAsia="es-ES"/>
        </w:rPr>
        <w:t xml:space="preserve"> </w:t>
      </w:r>
      <w:r w:rsidRPr="00C6068F">
        <w:rPr>
          <w:lang w:val="es-ES_tradnl" w:eastAsia="es-ES"/>
        </w:rPr>
        <w:t xml:space="preserve">modifica el </w:t>
      </w:r>
      <w:r w:rsidRPr="00C6068F">
        <w:rPr>
          <w:b/>
          <w:bCs/>
          <w:lang w:val="es-ES_tradnl" w:eastAsia="es-ES"/>
        </w:rPr>
        <w:t>Reglamento Delegado 2021/2139</w:t>
      </w:r>
      <w:r w:rsidRPr="00C6068F">
        <w:rPr>
          <w:lang w:val="es-ES_tradnl" w:eastAsia="es-ES"/>
        </w:rPr>
        <w:t xml:space="preserve"> e introduce nuevos criterios técnicos para diversas actividades económicas,</w:t>
      </w:r>
      <w:r>
        <w:rPr>
          <w:lang w:val="es-ES_tradnl" w:eastAsia="es-ES"/>
        </w:rPr>
        <w:t xml:space="preserve"> incluidas algunas relacionadas con el transporte por carretera,</w:t>
      </w:r>
      <w:r w:rsidRPr="00C6068F">
        <w:rPr>
          <w:lang w:val="es-ES_tradnl" w:eastAsia="es-ES"/>
        </w:rPr>
        <w:t xml:space="preserve"> asegurando una mayor contribución a la mitigación del cambio climático</w:t>
      </w:r>
      <w:r>
        <w:rPr>
          <w:lang w:val="es-ES_tradnl" w:eastAsia="es-ES"/>
        </w:rPr>
        <w:t>.</w:t>
      </w:r>
    </w:p>
    <w:p w14:paraId="12FD39EA" w14:textId="795C3C9D" w:rsidR="00C541C2" w:rsidRDefault="0058397D" w:rsidP="00FA3C3A">
      <w:pPr>
        <w:pStyle w:val="5GlobalFactor"/>
        <w:rPr>
          <w:lang w:val="es-ES_tradnl" w:eastAsia="es-ES"/>
        </w:rPr>
      </w:pPr>
      <w:r>
        <w:rPr>
          <w:lang w:val="es-ES_tradnl" w:eastAsia="es-ES"/>
        </w:rPr>
        <w:t xml:space="preserve">La </w:t>
      </w:r>
      <w:r w:rsidRPr="00C541C2">
        <w:rPr>
          <w:b/>
          <w:bCs/>
          <w:color w:val="C45911" w:themeColor="accent2" w:themeShade="BF"/>
          <w:lang w:val="es-ES_tradnl" w:eastAsia="es-ES"/>
        </w:rPr>
        <w:t>Decisión (UE) 2024/2951</w:t>
      </w:r>
      <w:r>
        <w:rPr>
          <w:rStyle w:val="Refdenotaalpie"/>
          <w:lang w:val="es-ES_tradnl" w:eastAsia="es-ES"/>
        </w:rPr>
        <w:footnoteReference w:id="21"/>
      </w:r>
      <w:r>
        <w:rPr>
          <w:lang w:val="es-ES_tradnl" w:eastAsia="es-ES"/>
        </w:rPr>
        <w:t xml:space="preserve"> </w:t>
      </w:r>
      <w:r w:rsidR="00C541C2" w:rsidRPr="00C541C2">
        <w:rPr>
          <w:lang w:val="es-ES_tradnl" w:eastAsia="es-ES"/>
        </w:rPr>
        <w:t>establece la cantidad de derechos de emisión de gases de efecto invernadero que se emitirán para 2027 en la Unión Europea</w:t>
      </w:r>
      <w:r w:rsidR="00C541C2">
        <w:rPr>
          <w:lang w:val="es-ES_tradnl" w:eastAsia="es-ES"/>
        </w:rPr>
        <w:t xml:space="preserve"> en el marco del </w:t>
      </w:r>
      <w:r w:rsidR="00C541C2" w:rsidRPr="00C541C2">
        <w:rPr>
          <w:b/>
          <w:bCs/>
          <w:lang w:val="es-ES_tradnl" w:eastAsia="es-ES"/>
        </w:rPr>
        <w:t>EU ETS</w:t>
      </w:r>
      <w:r w:rsidR="00C541C2" w:rsidRPr="00C541C2">
        <w:rPr>
          <w:lang w:val="es-ES_tradnl" w:eastAsia="es-ES"/>
        </w:rPr>
        <w:t xml:space="preserve">, incluyendo sectores como los edificios y el transporte por carretera. Esta cantidad disminuirá anualmente según un factor de reducción lineal, lo que significa que los derechos de emisión disponibles disminuirán con el tiempo. Esto afectará especialmente al sector del transporte, al haber menos derechos disponibles para emitir gases, lo que podría aumentar </w:t>
      </w:r>
      <w:r w:rsidR="00F12FAE">
        <w:rPr>
          <w:lang w:val="es-ES_tradnl" w:eastAsia="es-ES"/>
        </w:rPr>
        <w:t>el coste</w:t>
      </w:r>
      <w:r w:rsidR="00C541C2" w:rsidRPr="00C541C2">
        <w:rPr>
          <w:lang w:val="es-ES_tradnl" w:eastAsia="es-ES"/>
        </w:rPr>
        <w:t xml:space="preserve"> de las emisiones y fomentar la transición hacia opciones más sostenibles</w:t>
      </w:r>
      <w:r w:rsidR="00C541C2">
        <w:rPr>
          <w:lang w:val="es-ES_tradnl" w:eastAsia="es-ES"/>
        </w:rPr>
        <w:t>. Esta decisión entra en efecto el 23 de diciembre de 2024.</w:t>
      </w:r>
    </w:p>
    <w:p w14:paraId="101851B5" w14:textId="770D8F4E" w:rsidR="00FA3C3A" w:rsidRDefault="00FA3C3A" w:rsidP="00FA3C3A">
      <w:pPr>
        <w:pStyle w:val="3Subttulo"/>
      </w:pPr>
      <w:bookmarkStart w:id="15" w:name="_Toc186440729"/>
      <w:r>
        <w:t>Transporte marítimo</w:t>
      </w:r>
      <w:bookmarkEnd w:id="15"/>
    </w:p>
    <w:tbl>
      <w:tblPr>
        <w:tblStyle w:val="Tablaconcuadrcula"/>
        <w:tblW w:w="0" w:type="auto"/>
        <w:tblCellMar>
          <w:top w:w="170" w:type="dxa"/>
          <w:bottom w:w="85" w:type="dxa"/>
        </w:tblCellMar>
        <w:tblLook w:val="04A0" w:firstRow="1" w:lastRow="0" w:firstColumn="1" w:lastColumn="0" w:noHBand="0" w:noVBand="1"/>
      </w:tblPr>
      <w:tblGrid>
        <w:gridCol w:w="9040"/>
      </w:tblGrid>
      <w:tr w:rsidR="00D41E25" w14:paraId="2841588D" w14:textId="77777777" w:rsidTr="00417901">
        <w:tc>
          <w:tcPr>
            <w:tcW w:w="9060" w:type="dxa"/>
            <w:tcBorders>
              <w:top w:val="dotDash" w:sz="12" w:space="0" w:color="1D3C5A"/>
              <w:left w:val="dotDash" w:sz="12" w:space="0" w:color="1D3C5A"/>
              <w:bottom w:val="dotDash" w:sz="12" w:space="0" w:color="1D3C5A"/>
              <w:right w:val="dotDash" w:sz="12" w:space="0" w:color="1D3C5A"/>
            </w:tcBorders>
            <w:vAlign w:val="center"/>
          </w:tcPr>
          <w:p w14:paraId="3E09DF92" w14:textId="21FC77CA" w:rsidR="00D41E25" w:rsidRPr="001B41F5" w:rsidRDefault="00AE53A3" w:rsidP="00002BC2">
            <w:pPr>
              <w:pStyle w:val="5GlobalFactor"/>
              <w:numPr>
                <w:ilvl w:val="0"/>
                <w:numId w:val="71"/>
              </w:numPr>
              <w:jc w:val="left"/>
              <w:rPr>
                <w:b/>
                <w:bCs/>
                <w:lang w:val="es-ES_tradnl" w:eastAsia="es-ES"/>
              </w:rPr>
            </w:pPr>
            <w:r w:rsidRPr="00AE53A3">
              <w:rPr>
                <w:b/>
                <w:bCs/>
                <w:color w:val="25775E"/>
                <w:lang w:val="es-ES_tradnl" w:eastAsia="es-ES"/>
              </w:rPr>
              <w:t xml:space="preserve">Reglamento (UE) 2023/1805 </w:t>
            </w:r>
            <w:r>
              <w:rPr>
                <w:b/>
                <w:bCs/>
                <w:lang w:val="es-ES_tradnl" w:eastAsia="es-ES"/>
              </w:rPr>
              <w:t>(</w:t>
            </w:r>
            <w:r w:rsidRPr="00AE53A3">
              <w:rPr>
                <w:b/>
                <w:bCs/>
                <w:lang w:val="es-ES_tradnl" w:eastAsia="es-ES"/>
              </w:rPr>
              <w:t xml:space="preserve">Reglamento </w:t>
            </w:r>
            <w:proofErr w:type="spellStart"/>
            <w:r w:rsidRPr="00AE53A3">
              <w:rPr>
                <w:b/>
                <w:bCs/>
                <w:lang w:val="es-ES_tradnl" w:eastAsia="es-ES"/>
              </w:rPr>
              <w:t>FuelEU</w:t>
            </w:r>
            <w:proofErr w:type="spellEnd"/>
            <w:r w:rsidRPr="00AE53A3">
              <w:rPr>
                <w:b/>
                <w:bCs/>
                <w:lang w:val="es-ES_tradnl" w:eastAsia="es-ES"/>
              </w:rPr>
              <w:t xml:space="preserve"> </w:t>
            </w:r>
            <w:proofErr w:type="spellStart"/>
            <w:r w:rsidRPr="00AE53A3">
              <w:rPr>
                <w:b/>
                <w:bCs/>
                <w:lang w:val="es-ES_tradnl" w:eastAsia="es-ES"/>
              </w:rPr>
              <w:t>Maritime</w:t>
            </w:r>
            <w:proofErr w:type="spellEnd"/>
            <w:r>
              <w:rPr>
                <w:b/>
                <w:bCs/>
                <w:lang w:val="es-ES_tradnl" w:eastAsia="es-ES"/>
              </w:rPr>
              <w:t>)</w:t>
            </w:r>
          </w:p>
          <w:p w14:paraId="5C549F08" w14:textId="1E7F66AF" w:rsidR="00AE53A3" w:rsidRDefault="00AE53A3" w:rsidP="00002BC2">
            <w:pPr>
              <w:pStyle w:val="5GlobalFactor"/>
              <w:numPr>
                <w:ilvl w:val="1"/>
                <w:numId w:val="71"/>
              </w:numPr>
              <w:jc w:val="left"/>
              <w:rPr>
                <w:b/>
                <w:bCs/>
                <w:lang w:val="es-ES_tradnl" w:eastAsia="es-ES"/>
              </w:rPr>
            </w:pPr>
            <w:r w:rsidRPr="00AE53A3">
              <w:rPr>
                <w:b/>
                <w:bCs/>
                <w:color w:val="C45911" w:themeColor="accent2" w:themeShade="BF"/>
                <w:lang w:val="es-ES_tradnl" w:eastAsia="es-ES"/>
              </w:rPr>
              <w:t>Reglamento de Ejecución (UE) 2024/2027 relativo a las actividades de verificación</w:t>
            </w:r>
          </w:p>
          <w:p w14:paraId="7C961ABE" w14:textId="79258CAA" w:rsidR="0098160C" w:rsidRPr="000E7DAF" w:rsidRDefault="00AE53A3" w:rsidP="00002BC2">
            <w:pPr>
              <w:pStyle w:val="5GlobalFactor"/>
              <w:numPr>
                <w:ilvl w:val="1"/>
                <w:numId w:val="71"/>
              </w:numPr>
              <w:jc w:val="left"/>
              <w:rPr>
                <w:b/>
                <w:bCs/>
                <w:lang w:val="es-ES_tradnl" w:eastAsia="es-ES"/>
              </w:rPr>
            </w:pPr>
            <w:r w:rsidRPr="00AE53A3">
              <w:rPr>
                <w:b/>
                <w:bCs/>
                <w:color w:val="C45911" w:themeColor="accent2" w:themeShade="BF"/>
                <w:lang w:val="es-ES_tradnl" w:eastAsia="es-ES"/>
              </w:rPr>
              <w:lastRenderedPageBreak/>
              <w:t>Reglamento de Ejecución (UE) 2024/2031 relativo al modelo para los planes de seguimiento</w:t>
            </w:r>
          </w:p>
          <w:p w14:paraId="5FE3D9D1" w14:textId="63EF4145" w:rsidR="000E7DAF" w:rsidRPr="00B25A8C" w:rsidRDefault="000E7DAF" w:rsidP="00002BC2">
            <w:pPr>
              <w:pStyle w:val="5GlobalFactor"/>
              <w:numPr>
                <w:ilvl w:val="1"/>
                <w:numId w:val="71"/>
              </w:numPr>
              <w:jc w:val="left"/>
              <w:rPr>
                <w:b/>
                <w:bCs/>
                <w:lang w:val="es-ES_tradnl" w:eastAsia="es-ES"/>
              </w:rPr>
            </w:pPr>
            <w:r>
              <w:rPr>
                <w:b/>
                <w:bCs/>
                <w:color w:val="C45911" w:themeColor="accent2" w:themeShade="BF"/>
                <w:lang w:val="es-ES_tradnl" w:eastAsia="es-ES"/>
              </w:rPr>
              <w:t xml:space="preserve">Resolución </w:t>
            </w:r>
            <w:r w:rsidRPr="000E7DAF">
              <w:rPr>
                <w:b/>
                <w:bCs/>
                <w:color w:val="C45911" w:themeColor="accent2" w:themeShade="BF"/>
                <w:lang w:val="es-ES_tradnl" w:eastAsia="es-ES"/>
              </w:rPr>
              <w:t>de la Dirección General de la Marina Mercante, por la que se establecen exenciones temporales a la aplicación del</w:t>
            </w:r>
            <w:r>
              <w:rPr>
                <w:b/>
                <w:bCs/>
                <w:color w:val="C45911" w:themeColor="accent2" w:themeShade="BF"/>
                <w:lang w:val="es-ES_tradnl" w:eastAsia="es-ES"/>
              </w:rPr>
              <w:t xml:space="preserve"> </w:t>
            </w:r>
            <w:proofErr w:type="spellStart"/>
            <w:r>
              <w:rPr>
                <w:b/>
                <w:bCs/>
                <w:color w:val="C45911" w:themeColor="accent2" w:themeShade="BF"/>
                <w:lang w:val="es-ES_tradnl" w:eastAsia="es-ES"/>
              </w:rPr>
              <w:t>FuelEU</w:t>
            </w:r>
            <w:proofErr w:type="spellEnd"/>
            <w:r>
              <w:rPr>
                <w:b/>
                <w:bCs/>
                <w:color w:val="C45911" w:themeColor="accent2" w:themeShade="BF"/>
                <w:lang w:val="es-ES_tradnl" w:eastAsia="es-ES"/>
              </w:rPr>
              <w:t xml:space="preserve"> </w:t>
            </w:r>
            <w:proofErr w:type="spellStart"/>
            <w:r>
              <w:rPr>
                <w:b/>
                <w:bCs/>
                <w:color w:val="C45911" w:themeColor="accent2" w:themeShade="BF"/>
                <w:lang w:val="es-ES_tradnl" w:eastAsia="es-ES"/>
              </w:rPr>
              <w:t>Maritime</w:t>
            </w:r>
            <w:proofErr w:type="spellEnd"/>
          </w:p>
          <w:p w14:paraId="2725E4C9" w14:textId="647BB6FF" w:rsidR="00D41E25" w:rsidRDefault="00D41E25" w:rsidP="00002BC2">
            <w:pPr>
              <w:pStyle w:val="5GlobalFactor"/>
              <w:numPr>
                <w:ilvl w:val="0"/>
                <w:numId w:val="71"/>
              </w:numPr>
              <w:jc w:val="left"/>
              <w:rPr>
                <w:b/>
                <w:bCs/>
                <w:lang w:val="es-ES_tradnl" w:eastAsia="es-ES"/>
              </w:rPr>
            </w:pPr>
            <w:r w:rsidRPr="00D41E25">
              <w:rPr>
                <w:b/>
                <w:bCs/>
                <w:lang w:val="es-ES_tradnl" w:eastAsia="es-ES"/>
              </w:rPr>
              <w:t>Reglamento de Taxonomía europea</w:t>
            </w:r>
          </w:p>
          <w:p w14:paraId="4FD86427" w14:textId="19EBF990" w:rsidR="00D41E25" w:rsidRPr="00F12FAE" w:rsidRDefault="00D41E25" w:rsidP="00F12FAE">
            <w:pPr>
              <w:pStyle w:val="5GlobalFactor"/>
              <w:numPr>
                <w:ilvl w:val="1"/>
                <w:numId w:val="71"/>
              </w:numPr>
              <w:jc w:val="left"/>
              <w:rPr>
                <w:b/>
                <w:bCs/>
                <w:lang w:val="es-ES_tradnl" w:eastAsia="es-ES"/>
              </w:rPr>
            </w:pPr>
            <w:r w:rsidRPr="00D41E25">
              <w:rPr>
                <w:b/>
                <w:bCs/>
                <w:color w:val="C45911" w:themeColor="accent2" w:themeShade="BF"/>
                <w:lang w:val="es-ES_tradnl" w:eastAsia="es-ES"/>
              </w:rPr>
              <w:t xml:space="preserve">Reglamento </w:t>
            </w:r>
            <w:proofErr w:type="gramStart"/>
            <w:r w:rsidRPr="00D41E25">
              <w:rPr>
                <w:b/>
                <w:bCs/>
                <w:color w:val="C45911" w:themeColor="accent2" w:themeShade="BF"/>
                <w:lang w:val="es-ES_tradnl" w:eastAsia="es-ES"/>
              </w:rPr>
              <w:t>Delegado</w:t>
            </w:r>
            <w:proofErr w:type="gramEnd"/>
            <w:r w:rsidRPr="00D41E25">
              <w:rPr>
                <w:b/>
                <w:bCs/>
                <w:color w:val="C45911" w:themeColor="accent2" w:themeShade="BF"/>
                <w:lang w:val="es-ES_tradnl" w:eastAsia="es-ES"/>
              </w:rPr>
              <w:t xml:space="preserve"> 2023/2485</w:t>
            </w:r>
          </w:p>
          <w:p w14:paraId="5C7E6758" w14:textId="14F44248" w:rsidR="00D41E25" w:rsidRPr="00A33448" w:rsidRDefault="00D41E25" w:rsidP="00002BC2">
            <w:pPr>
              <w:pStyle w:val="5GlobalFactor"/>
              <w:numPr>
                <w:ilvl w:val="0"/>
                <w:numId w:val="71"/>
              </w:numPr>
              <w:jc w:val="left"/>
              <w:rPr>
                <w:b/>
                <w:bCs/>
                <w:lang w:val="es-ES_tradnl" w:eastAsia="es-ES"/>
              </w:rPr>
            </w:pPr>
            <w:r w:rsidRPr="00D41E25">
              <w:rPr>
                <w:b/>
                <w:bCs/>
                <w:color w:val="25775E"/>
                <w:lang w:val="es-ES_tradnl" w:eastAsia="es-ES"/>
              </w:rPr>
              <w:t>Reglamento de Ejecución (UE) 2023/2449 por el que se establecen disposiciones de aplicación del Reglamento (UE) 2015/757</w:t>
            </w:r>
          </w:p>
          <w:p w14:paraId="5A4F8719" w14:textId="47917CF5" w:rsidR="00D41E25" w:rsidRPr="00A33448" w:rsidRDefault="00D41E25" w:rsidP="00002BC2">
            <w:pPr>
              <w:pStyle w:val="5GlobalFactor"/>
              <w:numPr>
                <w:ilvl w:val="0"/>
                <w:numId w:val="71"/>
              </w:numPr>
              <w:jc w:val="left"/>
              <w:rPr>
                <w:b/>
                <w:bCs/>
                <w:lang w:val="es-ES_tradnl" w:eastAsia="es-ES"/>
              </w:rPr>
            </w:pPr>
            <w:r w:rsidRPr="00D41E25">
              <w:rPr>
                <w:b/>
                <w:bCs/>
                <w:color w:val="25775E"/>
                <w:lang w:val="es-ES_tradnl" w:eastAsia="es-ES"/>
              </w:rPr>
              <w:t>Reglamento 2023/1804 (AFIR)</w:t>
            </w:r>
          </w:p>
          <w:p w14:paraId="0C8A31AE" w14:textId="77777777" w:rsidR="00F81D0E" w:rsidRDefault="008F250B" w:rsidP="00002BC2">
            <w:pPr>
              <w:pStyle w:val="5GlobalFactor"/>
              <w:numPr>
                <w:ilvl w:val="0"/>
                <w:numId w:val="71"/>
              </w:numPr>
              <w:jc w:val="left"/>
              <w:rPr>
                <w:b/>
                <w:bCs/>
                <w:lang w:val="es-ES_tradnl" w:eastAsia="es-ES"/>
              </w:rPr>
            </w:pPr>
            <w:r>
              <w:rPr>
                <w:b/>
                <w:bCs/>
                <w:lang w:val="es-ES_tradnl" w:eastAsia="es-ES"/>
              </w:rPr>
              <w:t>EU ETS y MRV</w:t>
            </w:r>
          </w:p>
          <w:p w14:paraId="67948869" w14:textId="1AABEABD" w:rsidR="00F12FAE" w:rsidRPr="00F12FAE" w:rsidRDefault="00F12FAE" w:rsidP="00002BC2">
            <w:pPr>
              <w:pStyle w:val="5GlobalFactor"/>
              <w:numPr>
                <w:ilvl w:val="1"/>
                <w:numId w:val="71"/>
              </w:numPr>
              <w:jc w:val="left"/>
              <w:rPr>
                <w:b/>
                <w:bCs/>
                <w:lang w:val="es-ES_tradnl" w:eastAsia="es-ES"/>
              </w:rPr>
            </w:pPr>
            <w:r w:rsidRPr="00F12FAE">
              <w:rPr>
                <w:b/>
                <w:bCs/>
                <w:color w:val="C45911" w:themeColor="accent2" w:themeShade="BF"/>
                <w:lang w:val="es-ES_tradnl" w:eastAsia="es-ES"/>
              </w:rPr>
              <w:t>Reglamento (UE) 2023/2297 por el que se identifican puertos vecinos de transbordo de contenedores de conformidad con la Directiva 2003/87/CE</w:t>
            </w:r>
          </w:p>
          <w:p w14:paraId="5F552479" w14:textId="0CD1CC3A" w:rsidR="008F250B" w:rsidRPr="00A33448" w:rsidRDefault="008F250B" w:rsidP="00002BC2">
            <w:pPr>
              <w:pStyle w:val="5GlobalFactor"/>
              <w:numPr>
                <w:ilvl w:val="1"/>
                <w:numId w:val="71"/>
              </w:numPr>
              <w:jc w:val="left"/>
              <w:rPr>
                <w:b/>
                <w:bCs/>
                <w:lang w:val="es-ES_tradnl" w:eastAsia="es-ES"/>
              </w:rPr>
            </w:pPr>
            <w:r w:rsidRPr="008F250B">
              <w:rPr>
                <w:b/>
                <w:bCs/>
                <w:color w:val="C45911" w:themeColor="accent2" w:themeShade="BF"/>
                <w:lang w:val="es-ES_tradnl" w:eastAsia="es-ES"/>
              </w:rPr>
              <w:t>Borrador de</w:t>
            </w:r>
            <w:r>
              <w:rPr>
                <w:b/>
                <w:bCs/>
                <w:color w:val="C45911" w:themeColor="accent2" w:themeShade="BF"/>
                <w:lang w:val="es-ES_tradnl" w:eastAsia="es-ES"/>
              </w:rPr>
              <w:t>l</w:t>
            </w:r>
            <w:r w:rsidRPr="008F250B">
              <w:rPr>
                <w:b/>
                <w:bCs/>
                <w:color w:val="C45911" w:themeColor="accent2" w:themeShade="BF"/>
                <w:lang w:val="es-ES_tradnl" w:eastAsia="es-ES"/>
              </w:rPr>
              <w:t xml:space="preserve"> Reglamento </w:t>
            </w:r>
            <w:proofErr w:type="gramStart"/>
            <w:r w:rsidRPr="008F250B">
              <w:rPr>
                <w:b/>
                <w:bCs/>
                <w:color w:val="C45911" w:themeColor="accent2" w:themeShade="BF"/>
                <w:lang w:val="es-ES_tradnl" w:eastAsia="es-ES"/>
              </w:rPr>
              <w:t>Delegado</w:t>
            </w:r>
            <w:proofErr w:type="gramEnd"/>
            <w:r w:rsidRPr="008F250B">
              <w:rPr>
                <w:b/>
                <w:bCs/>
                <w:color w:val="C45911" w:themeColor="accent2" w:themeShade="BF"/>
                <w:lang w:val="es-ES_tradnl" w:eastAsia="es-ES"/>
              </w:rPr>
              <w:t xml:space="preserve"> sobre directrices para la aplicación del ETS y el MRV al transporte marítimo</w:t>
            </w:r>
          </w:p>
          <w:p w14:paraId="748F811A" w14:textId="2E8E3BBD" w:rsidR="00A33448" w:rsidRPr="00A33448" w:rsidRDefault="00A33448" w:rsidP="00002BC2">
            <w:pPr>
              <w:pStyle w:val="5GlobalFactor"/>
              <w:numPr>
                <w:ilvl w:val="1"/>
                <w:numId w:val="71"/>
              </w:numPr>
              <w:jc w:val="left"/>
              <w:rPr>
                <w:b/>
                <w:bCs/>
                <w:lang w:val="es-ES_tradnl" w:eastAsia="es-ES"/>
              </w:rPr>
            </w:pPr>
            <w:r w:rsidRPr="00A33448">
              <w:rPr>
                <w:b/>
                <w:bCs/>
                <w:color w:val="C45911" w:themeColor="accent2" w:themeShade="BF"/>
                <w:lang w:val="es-ES_tradnl" w:eastAsia="es-ES"/>
              </w:rPr>
              <w:t>Reglamento de Ejecución (UE) 2023/2599 por el que se establecen disposiciones de aplicación de la Directiva 2003/87/CE</w:t>
            </w:r>
          </w:p>
          <w:p w14:paraId="749FC449" w14:textId="0340F592" w:rsidR="00A33448" w:rsidRPr="000E7DAF" w:rsidRDefault="00A33448" w:rsidP="00002BC2">
            <w:pPr>
              <w:pStyle w:val="5GlobalFactor"/>
              <w:numPr>
                <w:ilvl w:val="1"/>
                <w:numId w:val="71"/>
              </w:numPr>
              <w:jc w:val="left"/>
              <w:rPr>
                <w:b/>
                <w:bCs/>
                <w:lang w:val="es-ES_tradnl" w:eastAsia="es-ES"/>
              </w:rPr>
            </w:pPr>
            <w:r w:rsidRPr="00A33448">
              <w:rPr>
                <w:b/>
                <w:bCs/>
                <w:color w:val="C45911" w:themeColor="accent2" w:themeShade="BF"/>
                <w:lang w:val="es-ES_tradnl" w:eastAsia="es-ES"/>
              </w:rPr>
              <w:t>Decisión de Ejecución 2024/411 sobre la lista de empresas navieras</w:t>
            </w:r>
          </w:p>
          <w:p w14:paraId="27CD54FC" w14:textId="77777777" w:rsidR="000E7DAF" w:rsidRPr="003639D9" w:rsidRDefault="000E7DAF" w:rsidP="00002BC2">
            <w:pPr>
              <w:pStyle w:val="Prrafodelista"/>
              <w:numPr>
                <w:ilvl w:val="0"/>
                <w:numId w:val="71"/>
              </w:numPr>
              <w:spacing w:line="360" w:lineRule="auto"/>
              <w:rPr>
                <w:b/>
                <w:bCs/>
                <w:szCs w:val="20"/>
                <w:lang w:val="es-ES_tradnl" w:eastAsia="es-ES"/>
              </w:rPr>
            </w:pPr>
            <w:r w:rsidRPr="000E7DAF">
              <w:rPr>
                <w:b/>
                <w:bCs/>
                <w:color w:val="25775E"/>
                <w:szCs w:val="20"/>
                <w:lang w:val="es-ES_tradnl" w:eastAsia="es-ES"/>
              </w:rPr>
              <w:t>Paquete legislativo sobre «seguridad marítima»</w:t>
            </w:r>
          </w:p>
          <w:p w14:paraId="5210B723" w14:textId="77777777" w:rsidR="003639D9" w:rsidRPr="00714887" w:rsidRDefault="003639D9" w:rsidP="00002BC2">
            <w:pPr>
              <w:pStyle w:val="Prrafodelista"/>
              <w:numPr>
                <w:ilvl w:val="0"/>
                <w:numId w:val="71"/>
              </w:numPr>
              <w:spacing w:line="360" w:lineRule="auto"/>
              <w:rPr>
                <w:b/>
                <w:bCs/>
                <w:szCs w:val="20"/>
                <w:lang w:val="es-ES_tradnl" w:eastAsia="es-ES"/>
              </w:rPr>
            </w:pPr>
            <w:r w:rsidRPr="003639D9">
              <w:rPr>
                <w:b/>
                <w:bCs/>
                <w:color w:val="25775E"/>
                <w:szCs w:val="20"/>
                <w:lang w:val="es-ES_tradnl" w:eastAsia="es-ES"/>
              </w:rPr>
              <w:t>Consulta del Gobierno del Reino Unido sobre el UK ETS y el Transporte Marítimo</w:t>
            </w:r>
          </w:p>
          <w:p w14:paraId="66A86132" w14:textId="77777777" w:rsidR="00714887" w:rsidRDefault="00714887" w:rsidP="00002BC2">
            <w:pPr>
              <w:pStyle w:val="Prrafodelista"/>
              <w:numPr>
                <w:ilvl w:val="0"/>
                <w:numId w:val="71"/>
              </w:numPr>
              <w:spacing w:line="360" w:lineRule="auto"/>
              <w:rPr>
                <w:b/>
                <w:bCs/>
                <w:szCs w:val="20"/>
                <w:lang w:val="es-ES_tradnl" w:eastAsia="es-ES"/>
              </w:rPr>
            </w:pPr>
            <w:r w:rsidRPr="00714887">
              <w:rPr>
                <w:b/>
                <w:bCs/>
                <w:szCs w:val="20"/>
                <w:lang w:val="es-ES_tradnl" w:eastAsia="es-ES"/>
              </w:rPr>
              <w:t>Directiva de contaminación procedente de buques</w:t>
            </w:r>
          </w:p>
          <w:p w14:paraId="73C6AF55" w14:textId="220BB987" w:rsidR="00714887" w:rsidRPr="000E7DAF" w:rsidRDefault="00714887" w:rsidP="00002BC2">
            <w:pPr>
              <w:pStyle w:val="Prrafodelista"/>
              <w:numPr>
                <w:ilvl w:val="1"/>
                <w:numId w:val="71"/>
              </w:numPr>
              <w:spacing w:line="360" w:lineRule="auto"/>
              <w:rPr>
                <w:b/>
                <w:bCs/>
                <w:szCs w:val="20"/>
                <w:lang w:val="es-ES_tradnl" w:eastAsia="es-ES"/>
              </w:rPr>
            </w:pPr>
            <w:r w:rsidRPr="00714887">
              <w:rPr>
                <w:b/>
                <w:bCs/>
                <w:color w:val="C45911" w:themeColor="accent2" w:themeShade="BF"/>
                <w:szCs w:val="20"/>
                <w:lang w:val="es-ES_tradnl" w:eastAsia="es-ES"/>
              </w:rPr>
              <w:t>Directiva (UE) 2024/3101</w:t>
            </w:r>
          </w:p>
        </w:tc>
      </w:tr>
    </w:tbl>
    <w:p w14:paraId="49F33C92" w14:textId="03DABDE3" w:rsidR="00FA3C3A" w:rsidRDefault="00FA3C3A" w:rsidP="00FA3C3A">
      <w:pPr>
        <w:pStyle w:val="5GlobalFactor"/>
        <w:rPr>
          <w:lang w:val="es-ES_tradnl" w:eastAsia="es-ES"/>
        </w:rPr>
      </w:pPr>
    </w:p>
    <w:p w14:paraId="0610861D" w14:textId="77777777" w:rsidR="00AE53A3" w:rsidRDefault="00C6068F" w:rsidP="00FA3C3A">
      <w:pPr>
        <w:pStyle w:val="5GlobalFactor"/>
        <w:rPr>
          <w:lang w:val="es-ES_tradnl" w:eastAsia="es-ES"/>
        </w:rPr>
      </w:pPr>
      <w:r>
        <w:rPr>
          <w:lang w:val="es-ES_tradnl" w:eastAsia="es-ES"/>
        </w:rPr>
        <w:t xml:space="preserve">El </w:t>
      </w:r>
      <w:r w:rsidRPr="00AE53A3">
        <w:rPr>
          <w:b/>
          <w:bCs/>
          <w:color w:val="25775E"/>
          <w:lang w:val="es-ES_tradnl" w:eastAsia="es-ES"/>
        </w:rPr>
        <w:t>Reglamento (UE) 2023/1805 sobre el uso de combustibles renovables y de bajo carbono en el transporte marítimo</w:t>
      </w:r>
      <w:r w:rsidR="00E76548" w:rsidRPr="00AE53A3">
        <w:rPr>
          <w:rStyle w:val="Refdenotaalpie"/>
          <w:b/>
          <w:bCs/>
          <w:color w:val="25775E"/>
          <w:lang w:val="es-ES_tradnl" w:eastAsia="es-ES"/>
        </w:rPr>
        <w:footnoteReference w:id="22"/>
      </w:r>
      <w:r w:rsidR="00E76548" w:rsidRPr="00AE53A3">
        <w:rPr>
          <w:b/>
          <w:bCs/>
          <w:color w:val="25775E"/>
          <w:lang w:val="es-ES_tradnl" w:eastAsia="es-ES"/>
        </w:rPr>
        <w:t xml:space="preserve"> (</w:t>
      </w:r>
      <w:r w:rsidR="00E76548" w:rsidRPr="00AE53A3">
        <w:rPr>
          <w:b/>
          <w:bCs/>
          <w:lang w:val="es-ES_tradnl" w:eastAsia="es-ES"/>
        </w:rPr>
        <w:t xml:space="preserve">Reglamento </w:t>
      </w:r>
      <w:proofErr w:type="spellStart"/>
      <w:r w:rsidR="00E76548" w:rsidRPr="00AE53A3">
        <w:rPr>
          <w:b/>
          <w:bCs/>
          <w:lang w:val="es-ES_tradnl" w:eastAsia="es-ES"/>
        </w:rPr>
        <w:t>FuelEU</w:t>
      </w:r>
      <w:proofErr w:type="spellEnd"/>
      <w:r w:rsidR="00E76548" w:rsidRPr="00AE53A3">
        <w:rPr>
          <w:b/>
          <w:bCs/>
          <w:lang w:val="es-ES_tradnl" w:eastAsia="es-ES"/>
        </w:rPr>
        <w:t xml:space="preserve"> </w:t>
      </w:r>
      <w:proofErr w:type="spellStart"/>
      <w:r w:rsidR="00E76548" w:rsidRPr="00AE53A3">
        <w:rPr>
          <w:b/>
          <w:bCs/>
          <w:lang w:val="es-ES_tradnl" w:eastAsia="es-ES"/>
        </w:rPr>
        <w:t>Maritime</w:t>
      </w:r>
      <w:proofErr w:type="spellEnd"/>
      <w:r w:rsidR="00E76548" w:rsidRPr="00AE53A3">
        <w:rPr>
          <w:b/>
          <w:bCs/>
          <w:color w:val="25775E"/>
          <w:lang w:val="es-ES_tradnl" w:eastAsia="es-ES"/>
        </w:rPr>
        <w:t>)</w:t>
      </w:r>
      <w:r w:rsidR="00E76548">
        <w:rPr>
          <w:lang w:val="es-ES_tradnl" w:eastAsia="es-ES"/>
        </w:rPr>
        <w:t xml:space="preserve">, en vigor desde el </w:t>
      </w:r>
      <w:r w:rsidR="00E76548" w:rsidRPr="00E76548">
        <w:rPr>
          <w:lang w:val="es-ES_tradnl" w:eastAsia="es-ES"/>
        </w:rPr>
        <w:t>12 de octubre de 2023, establece límites máximos para la intensidad de gases de efecto invernadero (GEI) de los combustibles utilizados por los buques. Los objetivos son reducir la intensidad de GEI de los combustibles en un 2% para 2025, llegando hasta un 80% para 2050. Además, se introducen requisitos de cero emisiones para los buques en puerto, obligando a utilizar fuentes de energía de cero emisiones como el suministro de energía en tierra</w:t>
      </w:r>
      <w:r w:rsidR="00E76548">
        <w:rPr>
          <w:lang w:val="es-ES_tradnl" w:eastAsia="es-ES"/>
        </w:rPr>
        <w:t>.</w:t>
      </w:r>
      <w:r w:rsidR="00AE53A3">
        <w:rPr>
          <w:lang w:val="es-ES_tradnl" w:eastAsia="es-ES"/>
        </w:rPr>
        <w:t xml:space="preserve"> </w:t>
      </w:r>
    </w:p>
    <w:p w14:paraId="191A9876" w14:textId="77777777" w:rsidR="00AE53A3" w:rsidRDefault="00AE53A3" w:rsidP="00FA3C3A">
      <w:pPr>
        <w:pStyle w:val="5GlobalFactor"/>
        <w:rPr>
          <w:lang w:val="es-ES_tradnl" w:eastAsia="es-ES"/>
        </w:rPr>
      </w:pPr>
      <w:r>
        <w:rPr>
          <w:lang w:val="es-ES_tradnl" w:eastAsia="es-ES"/>
        </w:rPr>
        <w:t xml:space="preserve">Además, el </w:t>
      </w:r>
      <w:r w:rsidRPr="00AE53A3">
        <w:rPr>
          <w:b/>
          <w:bCs/>
          <w:color w:val="C45911" w:themeColor="accent2" w:themeShade="BF"/>
          <w:lang w:val="es-ES_tradnl" w:eastAsia="es-ES"/>
        </w:rPr>
        <w:t>Reglamento de Ejecución (UE) 2024/2027</w:t>
      </w:r>
      <w:r>
        <w:rPr>
          <w:rStyle w:val="Refdenotaalpie"/>
          <w:lang w:val="es-ES_tradnl" w:eastAsia="es-ES"/>
        </w:rPr>
        <w:footnoteReference w:id="23"/>
      </w:r>
      <w:r>
        <w:rPr>
          <w:lang w:val="es-ES_tradnl" w:eastAsia="es-ES"/>
        </w:rPr>
        <w:t xml:space="preserve"> </w:t>
      </w:r>
      <w:r w:rsidRPr="00AE53A3">
        <w:rPr>
          <w:lang w:val="es-ES_tradnl" w:eastAsia="es-ES"/>
        </w:rPr>
        <w:t xml:space="preserve">detalla los requisitos para verificar el cumplimiento de las normativas </w:t>
      </w:r>
      <w:proofErr w:type="spellStart"/>
      <w:r w:rsidRPr="00AE53A3">
        <w:rPr>
          <w:b/>
          <w:bCs/>
          <w:lang w:val="es-ES_tradnl" w:eastAsia="es-ES"/>
        </w:rPr>
        <w:t>FuelEU</w:t>
      </w:r>
      <w:proofErr w:type="spellEnd"/>
      <w:r w:rsidRPr="00AE53A3">
        <w:rPr>
          <w:b/>
          <w:bCs/>
          <w:lang w:val="es-ES_tradnl" w:eastAsia="es-ES"/>
        </w:rPr>
        <w:t xml:space="preserve"> </w:t>
      </w:r>
      <w:proofErr w:type="spellStart"/>
      <w:r w:rsidRPr="00AE53A3">
        <w:rPr>
          <w:b/>
          <w:bCs/>
          <w:lang w:val="es-ES_tradnl" w:eastAsia="es-ES"/>
        </w:rPr>
        <w:t>Maritime</w:t>
      </w:r>
      <w:proofErr w:type="spellEnd"/>
      <w:r w:rsidRPr="00AE53A3">
        <w:rPr>
          <w:lang w:val="es-ES_tradnl" w:eastAsia="es-ES"/>
        </w:rPr>
        <w:t>. Esto incluye la evaluación de planes de seguimiento, la documentación requerida, la verificación de informes, el análisis de riesgos, y la identificación de inexactitudes e irregularidades. También se definen las competencias y acreditaciones necesarias para los verificadores, así como los roles de auditores y expertos técnicos. Se considera que los verificadores que sigan normas armonizadas publicadas en el Diario Oficial de la UE cumplen con los requisitos del Reglamento</w:t>
      </w:r>
      <w:r>
        <w:rPr>
          <w:lang w:val="es-ES_tradnl" w:eastAsia="es-ES"/>
        </w:rPr>
        <w:t xml:space="preserve">. </w:t>
      </w:r>
    </w:p>
    <w:p w14:paraId="41F79305" w14:textId="3FCE291C" w:rsidR="00C6068F" w:rsidRDefault="00AE53A3" w:rsidP="00FA3C3A">
      <w:pPr>
        <w:pStyle w:val="5GlobalFactor"/>
        <w:rPr>
          <w:lang w:val="es-ES_tradnl" w:eastAsia="es-ES"/>
        </w:rPr>
      </w:pPr>
      <w:r>
        <w:rPr>
          <w:lang w:val="es-ES_tradnl" w:eastAsia="es-ES"/>
        </w:rPr>
        <w:lastRenderedPageBreak/>
        <w:t xml:space="preserve">Por otro lado, el </w:t>
      </w:r>
      <w:r w:rsidRPr="00AE53A3">
        <w:rPr>
          <w:b/>
          <w:bCs/>
          <w:color w:val="C45911" w:themeColor="accent2" w:themeShade="BF"/>
          <w:lang w:val="es-ES_tradnl" w:eastAsia="es-ES"/>
        </w:rPr>
        <w:t>Reglamento de Ejecución (UE) 2024/2031</w:t>
      </w:r>
      <w:r>
        <w:rPr>
          <w:rStyle w:val="Refdenotaalpie"/>
          <w:lang w:val="es-ES_tradnl" w:eastAsia="es-ES"/>
        </w:rPr>
        <w:footnoteReference w:id="24"/>
      </w:r>
      <w:r>
        <w:rPr>
          <w:b/>
          <w:bCs/>
          <w:color w:val="C45911" w:themeColor="accent2" w:themeShade="BF"/>
          <w:lang w:val="es-ES_tradnl" w:eastAsia="es-ES"/>
        </w:rPr>
        <w:t xml:space="preserve"> </w:t>
      </w:r>
      <w:r w:rsidRPr="00AE53A3">
        <w:rPr>
          <w:lang w:val="es-ES_tradnl" w:eastAsia="es-ES"/>
        </w:rPr>
        <w:t xml:space="preserve">establece el formato de la plantilla electrónica del plan de seguimiento. Este plan se debe llenar accediendo a la base de datos del </w:t>
      </w:r>
      <w:proofErr w:type="spellStart"/>
      <w:r w:rsidRPr="00AE53A3">
        <w:rPr>
          <w:b/>
          <w:bCs/>
          <w:lang w:val="es-ES_tradnl" w:eastAsia="es-ES"/>
        </w:rPr>
        <w:t>FuelEU</w:t>
      </w:r>
      <w:proofErr w:type="spellEnd"/>
      <w:r w:rsidRPr="00AE53A3">
        <w:rPr>
          <w:b/>
          <w:bCs/>
          <w:lang w:val="es-ES_tradnl" w:eastAsia="es-ES"/>
        </w:rPr>
        <w:t xml:space="preserve"> </w:t>
      </w:r>
      <w:proofErr w:type="spellStart"/>
      <w:r w:rsidRPr="00AE53A3">
        <w:rPr>
          <w:b/>
          <w:bCs/>
          <w:lang w:val="es-ES_tradnl" w:eastAsia="es-ES"/>
        </w:rPr>
        <w:t>Maritime</w:t>
      </w:r>
      <w:proofErr w:type="spellEnd"/>
      <w:r w:rsidRPr="00AE53A3">
        <w:rPr>
          <w:lang w:val="es-ES_tradnl" w:eastAsia="es-ES"/>
        </w:rPr>
        <w:t xml:space="preserve"> desde Thetis. De esta manera, la plataforma electrónica Thetis recoge los datos de emisiones relacionados con el reglamento MRV y con el </w:t>
      </w:r>
      <w:proofErr w:type="spellStart"/>
      <w:r w:rsidRPr="00AE53A3">
        <w:rPr>
          <w:lang w:val="es-ES_tradnl" w:eastAsia="es-ES"/>
        </w:rPr>
        <w:t>FuelEU</w:t>
      </w:r>
      <w:proofErr w:type="spellEnd"/>
      <w:r w:rsidRPr="00AE53A3">
        <w:rPr>
          <w:lang w:val="es-ES_tradnl" w:eastAsia="es-ES"/>
        </w:rPr>
        <w:t xml:space="preserve"> </w:t>
      </w:r>
      <w:proofErr w:type="spellStart"/>
      <w:r w:rsidRPr="00AE53A3">
        <w:rPr>
          <w:lang w:val="es-ES_tradnl" w:eastAsia="es-ES"/>
        </w:rPr>
        <w:t>Maritime</w:t>
      </w:r>
      <w:proofErr w:type="spellEnd"/>
      <w:r w:rsidRPr="00AE53A3">
        <w:rPr>
          <w:lang w:val="es-ES_tradnl" w:eastAsia="es-ES"/>
        </w:rPr>
        <w:t>. La fecha límite para completar el plan de seguimiento es el 31 de agosto</w:t>
      </w:r>
      <w:r w:rsidR="00F81D0E">
        <w:rPr>
          <w:lang w:val="es-ES_tradnl" w:eastAsia="es-ES"/>
        </w:rPr>
        <w:t xml:space="preserve"> de 2024</w:t>
      </w:r>
      <w:r w:rsidRPr="00AE53A3">
        <w:rPr>
          <w:lang w:val="es-ES_tradnl" w:eastAsia="es-ES"/>
        </w:rPr>
        <w:t>, pero dada la tardanza en publicar este reglamento de ejecución, la EMSA ha declarado que aplicarán un enfoque flexible</w:t>
      </w:r>
      <w:r w:rsidR="00F81D0E">
        <w:rPr>
          <w:lang w:val="es-ES_tradnl" w:eastAsia="es-ES"/>
        </w:rPr>
        <w:t>.</w:t>
      </w:r>
    </w:p>
    <w:p w14:paraId="53FC139A" w14:textId="75827561" w:rsidR="000E7DAF" w:rsidRDefault="000E7DAF" w:rsidP="00FA3C3A">
      <w:pPr>
        <w:pStyle w:val="5GlobalFactor"/>
        <w:rPr>
          <w:lang w:val="es-ES_tradnl" w:eastAsia="es-ES"/>
        </w:rPr>
      </w:pPr>
      <w:r>
        <w:rPr>
          <w:lang w:val="es-ES_tradnl" w:eastAsia="es-ES"/>
        </w:rPr>
        <w:t xml:space="preserve">Adicionalmente, se ha publicado la </w:t>
      </w:r>
      <w:r w:rsidRPr="000E7DAF">
        <w:rPr>
          <w:b/>
          <w:bCs/>
          <w:color w:val="C45911" w:themeColor="accent2" w:themeShade="BF"/>
          <w:lang w:val="es-ES_tradnl" w:eastAsia="es-ES"/>
        </w:rPr>
        <w:t>Resolución de la Dirección General de la Marina Mercante</w:t>
      </w:r>
      <w:r>
        <w:rPr>
          <w:rStyle w:val="Refdenotaalpie"/>
          <w:lang w:val="es-ES_tradnl" w:eastAsia="es-ES"/>
        </w:rPr>
        <w:footnoteReference w:id="25"/>
      </w:r>
      <w:r w:rsidRPr="000E7DAF">
        <w:rPr>
          <w:lang w:val="es-ES_tradnl" w:eastAsia="es-ES"/>
        </w:rPr>
        <w:t xml:space="preserve"> que establece exenciones temporales a la aplicación del </w:t>
      </w:r>
      <w:proofErr w:type="spellStart"/>
      <w:r w:rsidRPr="000E7DAF">
        <w:rPr>
          <w:b/>
          <w:bCs/>
          <w:lang w:val="es-ES_tradnl" w:eastAsia="es-ES"/>
        </w:rPr>
        <w:t>FuelEU</w:t>
      </w:r>
      <w:proofErr w:type="spellEnd"/>
      <w:r w:rsidRPr="000E7DAF">
        <w:rPr>
          <w:b/>
          <w:bCs/>
          <w:lang w:val="es-ES_tradnl" w:eastAsia="es-ES"/>
        </w:rPr>
        <w:t xml:space="preserve"> </w:t>
      </w:r>
      <w:proofErr w:type="spellStart"/>
      <w:r w:rsidRPr="000E7DAF">
        <w:rPr>
          <w:b/>
          <w:bCs/>
          <w:lang w:val="es-ES_tradnl" w:eastAsia="es-ES"/>
        </w:rPr>
        <w:t>Maritime</w:t>
      </w:r>
      <w:proofErr w:type="spellEnd"/>
      <w:r>
        <w:rPr>
          <w:lang w:val="es-ES_tradnl" w:eastAsia="es-ES"/>
        </w:rPr>
        <w:t xml:space="preserve"> para los siguientes casos:</w:t>
      </w:r>
    </w:p>
    <w:p w14:paraId="66CDDF0B" w14:textId="09BA4602" w:rsidR="000E7DAF" w:rsidRDefault="000E7DAF" w:rsidP="00002BC2">
      <w:pPr>
        <w:pStyle w:val="5GlobalFactor"/>
        <w:numPr>
          <w:ilvl w:val="0"/>
          <w:numId w:val="73"/>
        </w:numPr>
        <w:rPr>
          <w:lang w:val="es-ES_tradnl" w:eastAsia="es-ES"/>
        </w:rPr>
      </w:pPr>
      <w:r w:rsidRPr="000E7DAF">
        <w:rPr>
          <w:lang w:val="es-ES_tradnl" w:eastAsia="es-ES"/>
        </w:rPr>
        <w:t>Viajes efectuados por buques de pasajeros distintos de los cruceros entre un puerto de escala bajo jurisdicción de un Estado miembro y un puerto de escala bajo jurisdicción del mismo Estado miembro situado en una isla con menos de 200</w:t>
      </w:r>
      <w:r>
        <w:rPr>
          <w:lang w:val="es-ES_tradnl" w:eastAsia="es-ES"/>
        </w:rPr>
        <w:t>.</w:t>
      </w:r>
      <w:r w:rsidRPr="000E7DAF">
        <w:rPr>
          <w:lang w:val="es-ES_tradnl" w:eastAsia="es-ES"/>
        </w:rPr>
        <w:t>000 residentes permanentes, y durante la escala en esos puertos. El borrador publica la lista de islas</w:t>
      </w:r>
      <w:r>
        <w:rPr>
          <w:lang w:val="es-ES_tradnl" w:eastAsia="es-ES"/>
        </w:rPr>
        <w:t>.</w:t>
      </w:r>
    </w:p>
    <w:p w14:paraId="58425359" w14:textId="21449B17" w:rsidR="000E7DAF" w:rsidRDefault="000E7DAF" w:rsidP="00002BC2">
      <w:pPr>
        <w:pStyle w:val="5GlobalFactor"/>
        <w:numPr>
          <w:ilvl w:val="0"/>
          <w:numId w:val="73"/>
        </w:numPr>
        <w:rPr>
          <w:lang w:val="es-ES_tradnl" w:eastAsia="es-ES"/>
        </w:rPr>
      </w:pPr>
      <w:r w:rsidRPr="000E7DAF">
        <w:rPr>
          <w:lang w:val="es-ES_tradnl" w:eastAsia="es-ES"/>
        </w:rPr>
        <w:t>Viajes entre un puerto de escala situado en una región ultraperiférica y otro puerto de escala situado en una región ultraperiférica, así como la energía consumida durante la estancia en esos puertos. El borrador incluye la lista de puertos en la región ultraperiférica (Canarias)</w:t>
      </w:r>
      <w:r>
        <w:rPr>
          <w:lang w:val="es-ES_tradnl" w:eastAsia="es-ES"/>
        </w:rPr>
        <w:t>.</w:t>
      </w:r>
    </w:p>
    <w:p w14:paraId="41C90A8C" w14:textId="679FA0AF" w:rsidR="000E7DAF" w:rsidRDefault="000E7DAF" w:rsidP="00002BC2">
      <w:pPr>
        <w:pStyle w:val="5GlobalFactor"/>
        <w:numPr>
          <w:ilvl w:val="0"/>
          <w:numId w:val="73"/>
        </w:numPr>
        <w:rPr>
          <w:lang w:val="es-ES_tradnl" w:eastAsia="es-ES"/>
        </w:rPr>
      </w:pPr>
      <w:r w:rsidRPr="000E7DAF">
        <w:rPr>
          <w:lang w:val="es-ES_tradnl" w:eastAsia="es-ES"/>
        </w:rPr>
        <w:t>Buques de pasaje que presten servicios de transporte marítimo en virtud de obligaciones de servicio público o de contratos de servicio público vigentes antes del 12 de octubre de 2023</w:t>
      </w:r>
      <w:r>
        <w:rPr>
          <w:lang w:val="es-ES_tradnl" w:eastAsia="es-ES"/>
        </w:rPr>
        <w:t>.</w:t>
      </w:r>
    </w:p>
    <w:p w14:paraId="21E0D28D" w14:textId="6D8FAADF" w:rsidR="00E76548" w:rsidRDefault="00E76548" w:rsidP="00FA3C3A">
      <w:pPr>
        <w:pStyle w:val="5GlobalFactor"/>
        <w:rPr>
          <w:lang w:val="es-ES_tradnl" w:eastAsia="es-ES"/>
        </w:rPr>
      </w:pPr>
      <w:r>
        <w:rPr>
          <w:lang w:val="es-ES_tradnl" w:eastAsia="es-ES"/>
        </w:rPr>
        <w:t xml:space="preserve">El </w:t>
      </w:r>
      <w:r w:rsidRPr="00E76548">
        <w:rPr>
          <w:b/>
          <w:bCs/>
          <w:color w:val="C45911" w:themeColor="accent2" w:themeShade="BF"/>
          <w:lang w:val="es-ES_tradnl" w:eastAsia="es-ES"/>
        </w:rPr>
        <w:t xml:space="preserve">Reglamento </w:t>
      </w:r>
      <w:proofErr w:type="gramStart"/>
      <w:r w:rsidRPr="00E76548">
        <w:rPr>
          <w:b/>
          <w:bCs/>
          <w:color w:val="C45911" w:themeColor="accent2" w:themeShade="BF"/>
          <w:lang w:val="es-ES_tradnl" w:eastAsia="es-ES"/>
        </w:rPr>
        <w:t>Delegado</w:t>
      </w:r>
      <w:proofErr w:type="gramEnd"/>
      <w:r w:rsidRPr="00E76548">
        <w:rPr>
          <w:b/>
          <w:bCs/>
          <w:color w:val="C45911" w:themeColor="accent2" w:themeShade="BF"/>
          <w:lang w:val="es-ES_tradnl" w:eastAsia="es-ES"/>
        </w:rPr>
        <w:t xml:space="preserve"> 2023/2485</w:t>
      </w:r>
      <w:r>
        <w:rPr>
          <w:rStyle w:val="Refdenotaalpie"/>
          <w:lang w:val="es-ES_tradnl" w:eastAsia="es-ES"/>
        </w:rPr>
        <w:footnoteReference w:id="26"/>
      </w:r>
      <w:r>
        <w:rPr>
          <w:lang w:val="es-ES_tradnl" w:eastAsia="es-ES"/>
        </w:rPr>
        <w:t xml:space="preserve"> </w:t>
      </w:r>
      <w:r w:rsidRPr="00E76548">
        <w:rPr>
          <w:lang w:val="es-ES_tradnl" w:eastAsia="es-ES"/>
        </w:rPr>
        <w:t xml:space="preserve">propone enmiendas al </w:t>
      </w:r>
      <w:r w:rsidRPr="00E76548">
        <w:rPr>
          <w:b/>
          <w:bCs/>
          <w:lang w:val="es-ES_tradnl" w:eastAsia="es-ES"/>
        </w:rPr>
        <w:t>Reglamento de Taxonomía</w:t>
      </w:r>
      <w:r>
        <w:rPr>
          <w:lang w:val="es-ES_tradnl" w:eastAsia="es-ES"/>
        </w:rPr>
        <w:t xml:space="preserve"> europea</w:t>
      </w:r>
      <w:r w:rsidRPr="00E76548">
        <w:rPr>
          <w:lang w:val="es-ES_tradnl" w:eastAsia="es-ES"/>
        </w:rPr>
        <w:t xml:space="preserve"> para definir criterios técnicos de selección posteriores a 2025 para el transporte marítimo, y adopta un enfoque a largo plazo que considera las emisiones de todo el ciclo de vida y no exclusivamente las emisiones directas</w:t>
      </w:r>
      <w:r>
        <w:rPr>
          <w:lang w:val="es-ES_tradnl" w:eastAsia="es-ES"/>
        </w:rPr>
        <w:t>.</w:t>
      </w:r>
    </w:p>
    <w:p w14:paraId="15940C0A" w14:textId="77777777" w:rsidR="007B2EDC" w:rsidRDefault="007B2EDC" w:rsidP="00FA3C3A">
      <w:pPr>
        <w:pStyle w:val="5GlobalFactor"/>
        <w:rPr>
          <w:lang w:val="es-ES_tradnl" w:eastAsia="es-ES"/>
        </w:rPr>
      </w:pPr>
      <w:r>
        <w:rPr>
          <w:lang w:val="es-ES_tradnl" w:eastAsia="es-ES"/>
        </w:rPr>
        <w:t xml:space="preserve">El </w:t>
      </w:r>
      <w:r w:rsidRPr="007B2EDC">
        <w:rPr>
          <w:b/>
          <w:bCs/>
          <w:color w:val="25775E"/>
          <w:lang w:val="es-ES_tradnl" w:eastAsia="es-ES"/>
        </w:rPr>
        <w:t>Reglamento de Ejecución (UE) 2023/2449</w:t>
      </w:r>
      <w:r>
        <w:rPr>
          <w:rStyle w:val="Refdenotaalpie"/>
          <w:lang w:val="es-ES_tradnl" w:eastAsia="es-ES"/>
        </w:rPr>
        <w:footnoteReference w:id="27"/>
      </w:r>
      <w:r w:rsidRPr="007B2EDC">
        <w:rPr>
          <w:lang w:val="es-ES_tradnl" w:eastAsia="es-ES"/>
        </w:rPr>
        <w:t xml:space="preserve"> </w:t>
      </w:r>
      <w:r>
        <w:rPr>
          <w:lang w:val="es-ES_tradnl" w:eastAsia="es-ES"/>
        </w:rPr>
        <w:t xml:space="preserve">establece las </w:t>
      </w:r>
      <w:r w:rsidRPr="007B2EDC">
        <w:rPr>
          <w:lang w:val="es-ES_tradnl" w:eastAsia="es-ES"/>
        </w:rPr>
        <w:t>disposiciones para la implementación del Reglamento (UE) 2015/757 sobre el seguimiento, notificación y verificación de las emisiones de dióxido de carbono del transporte marítimo. Este reglamento introduce nuevos modelos electrónicos para los planes de seguimiento, informes de emisiones, informes parciales y documentos de conformidad, y especifica el contenido y formato de los informes por empresa</w:t>
      </w:r>
      <w:r>
        <w:rPr>
          <w:lang w:val="es-ES_tradnl" w:eastAsia="es-ES"/>
        </w:rPr>
        <w:t xml:space="preserve">. </w:t>
      </w:r>
    </w:p>
    <w:p w14:paraId="6D42929E" w14:textId="2DFFB8F3" w:rsidR="00F12FAE" w:rsidRDefault="00F12FAE" w:rsidP="00FA3C3A">
      <w:pPr>
        <w:pStyle w:val="5GlobalFactor"/>
        <w:rPr>
          <w:lang w:val="es-ES_tradnl" w:eastAsia="es-ES"/>
        </w:rPr>
      </w:pPr>
      <w:r>
        <w:rPr>
          <w:lang w:val="es-ES_tradnl" w:eastAsia="es-ES"/>
        </w:rPr>
        <w:t xml:space="preserve">El </w:t>
      </w:r>
      <w:r w:rsidRPr="007B2EDC">
        <w:rPr>
          <w:b/>
          <w:bCs/>
          <w:color w:val="25775E"/>
          <w:lang w:val="es-ES_tradnl" w:eastAsia="es-ES"/>
        </w:rPr>
        <w:t>Reglamento 2023/1804 (AFIR)</w:t>
      </w:r>
      <w:r>
        <w:rPr>
          <w:lang w:val="es-ES_tradnl" w:eastAsia="es-ES"/>
        </w:rPr>
        <w:t xml:space="preserve">, en lo relativo al transporte marítimo, </w:t>
      </w:r>
      <w:r w:rsidRPr="007B2EDC">
        <w:rPr>
          <w:lang w:val="es-ES_tradnl" w:eastAsia="es-ES"/>
        </w:rPr>
        <w:t xml:space="preserve">obliga a la instalación en los puertos de la red TEN-T de la infraestructura OPS necesaria, en línea con la obligación a los buques acordada en el Reglamento </w:t>
      </w:r>
      <w:proofErr w:type="spellStart"/>
      <w:r w:rsidRPr="007B2EDC">
        <w:rPr>
          <w:lang w:val="es-ES_tradnl" w:eastAsia="es-ES"/>
        </w:rPr>
        <w:t>FuelEU</w:t>
      </w:r>
      <w:proofErr w:type="spellEnd"/>
      <w:r w:rsidRPr="007B2EDC">
        <w:rPr>
          <w:lang w:val="es-ES_tradnl" w:eastAsia="es-ES"/>
        </w:rPr>
        <w:t xml:space="preserve"> </w:t>
      </w:r>
      <w:proofErr w:type="spellStart"/>
      <w:r w:rsidRPr="007B2EDC">
        <w:rPr>
          <w:lang w:val="es-ES_tradnl" w:eastAsia="es-ES"/>
        </w:rPr>
        <w:t>Maritime</w:t>
      </w:r>
      <w:proofErr w:type="spellEnd"/>
      <w:r>
        <w:rPr>
          <w:lang w:val="es-ES_tradnl" w:eastAsia="es-ES"/>
        </w:rPr>
        <w:t>.</w:t>
      </w:r>
    </w:p>
    <w:p w14:paraId="4A2B33D9" w14:textId="645EA3BC" w:rsidR="00F12FAE" w:rsidRDefault="00F12FAE" w:rsidP="00FA3C3A">
      <w:pPr>
        <w:pStyle w:val="5GlobalFactor"/>
        <w:rPr>
          <w:lang w:val="es-ES_tradnl" w:eastAsia="es-ES"/>
        </w:rPr>
      </w:pPr>
      <w:r>
        <w:rPr>
          <w:lang w:val="es-ES_tradnl" w:eastAsia="es-ES"/>
        </w:rPr>
        <w:t xml:space="preserve">El </w:t>
      </w:r>
      <w:r w:rsidRPr="00F12FAE">
        <w:rPr>
          <w:b/>
          <w:bCs/>
          <w:color w:val="C45911" w:themeColor="accent2" w:themeShade="BF"/>
          <w:lang w:val="es-ES_tradnl" w:eastAsia="es-ES"/>
        </w:rPr>
        <w:t>Reglamento (UE) 2023/2297</w:t>
      </w:r>
      <w:r>
        <w:rPr>
          <w:rStyle w:val="Refdenotaalpie"/>
          <w:lang w:val="es-ES_tradnl" w:eastAsia="es-ES"/>
        </w:rPr>
        <w:footnoteReference w:id="28"/>
      </w:r>
      <w:r w:rsidRPr="00E76548">
        <w:rPr>
          <w:lang w:val="es-ES_tradnl" w:eastAsia="es-ES"/>
        </w:rPr>
        <w:t xml:space="preserve"> </w:t>
      </w:r>
      <w:r>
        <w:rPr>
          <w:lang w:val="es-ES_tradnl" w:eastAsia="es-ES"/>
        </w:rPr>
        <w:t xml:space="preserve">identifica los </w:t>
      </w:r>
      <w:r w:rsidRPr="007B2EDC">
        <w:rPr>
          <w:lang w:val="es-ES_tradnl" w:eastAsia="es-ES"/>
        </w:rPr>
        <w:t>puertos vecinos de transbordo de contenedores para prevenir el riesgo de escalas evasivas de buques y la reubicación de actividades de transbordo fuera de la UE</w:t>
      </w:r>
      <w:r>
        <w:rPr>
          <w:lang w:val="es-ES_tradnl" w:eastAsia="es-ES"/>
        </w:rPr>
        <w:t xml:space="preserve"> en el marco del </w:t>
      </w:r>
      <w:r w:rsidRPr="00F12FAE">
        <w:rPr>
          <w:b/>
          <w:bCs/>
          <w:lang w:val="es-ES_tradnl" w:eastAsia="es-ES"/>
        </w:rPr>
        <w:lastRenderedPageBreak/>
        <w:t>EU ETS</w:t>
      </w:r>
      <w:r w:rsidRPr="007B2EDC">
        <w:rPr>
          <w:lang w:val="es-ES_tradnl" w:eastAsia="es-ES"/>
        </w:rPr>
        <w:t xml:space="preserve">. Los puertos identificados son East Port Said en Egipto y </w:t>
      </w:r>
      <w:proofErr w:type="spellStart"/>
      <w:r w:rsidRPr="007B2EDC">
        <w:rPr>
          <w:lang w:val="es-ES_tradnl" w:eastAsia="es-ES"/>
        </w:rPr>
        <w:t>Tanger</w:t>
      </w:r>
      <w:proofErr w:type="spellEnd"/>
      <w:r w:rsidRPr="007B2EDC">
        <w:rPr>
          <w:lang w:val="es-ES_tradnl" w:eastAsia="es-ES"/>
        </w:rPr>
        <w:t xml:space="preserve"> </w:t>
      </w:r>
      <w:proofErr w:type="spellStart"/>
      <w:r w:rsidRPr="007B2EDC">
        <w:rPr>
          <w:lang w:val="es-ES_tradnl" w:eastAsia="es-ES"/>
        </w:rPr>
        <w:t>Med</w:t>
      </w:r>
      <w:proofErr w:type="spellEnd"/>
      <w:r w:rsidRPr="007B2EDC">
        <w:rPr>
          <w:lang w:val="es-ES_tradnl" w:eastAsia="es-ES"/>
        </w:rPr>
        <w:t xml:space="preserve"> en Marruecos. Estos puertos cumplen con los criterios establecidos, como tener una cuota de transbordo superior al 65% y estar situados a menos de 300 millas náuticas de un puerto de la UE.</w:t>
      </w:r>
    </w:p>
    <w:p w14:paraId="484ED0CC" w14:textId="09F9642F" w:rsidR="007B2EDC" w:rsidRPr="007B2EDC" w:rsidRDefault="007B2EDC" w:rsidP="007B2EDC">
      <w:pPr>
        <w:pStyle w:val="5GlobalFactor"/>
        <w:rPr>
          <w:lang w:val="es-ES_tradnl" w:eastAsia="es-ES"/>
        </w:rPr>
      </w:pPr>
      <w:r>
        <w:rPr>
          <w:lang w:val="es-ES_tradnl" w:eastAsia="es-ES"/>
        </w:rPr>
        <w:t xml:space="preserve">El </w:t>
      </w:r>
      <w:r w:rsidRPr="00A33448">
        <w:rPr>
          <w:b/>
          <w:bCs/>
          <w:color w:val="C45911" w:themeColor="accent2" w:themeShade="BF"/>
          <w:lang w:val="es-ES_tradnl" w:eastAsia="es-ES"/>
        </w:rPr>
        <w:t>Reglamento de Ejecución (UE) 2023/2599</w:t>
      </w:r>
      <w:r>
        <w:rPr>
          <w:rStyle w:val="Refdenotaalpie"/>
          <w:lang w:val="es-ES_tradnl" w:eastAsia="es-ES"/>
        </w:rPr>
        <w:footnoteReference w:id="29"/>
      </w:r>
      <w:r w:rsidRPr="007B2EDC">
        <w:rPr>
          <w:lang w:val="es-ES_tradnl" w:eastAsia="es-ES"/>
        </w:rPr>
        <w:t xml:space="preserve"> </w:t>
      </w:r>
      <w:r>
        <w:rPr>
          <w:lang w:val="es-ES_tradnl" w:eastAsia="es-ES"/>
        </w:rPr>
        <w:t>e</w:t>
      </w:r>
      <w:r w:rsidRPr="007B2EDC">
        <w:rPr>
          <w:lang w:val="es-ES_tradnl" w:eastAsia="es-ES"/>
        </w:rPr>
        <w:t>stablece disposiciones de aplicación de la Directiva 2003/87/CE</w:t>
      </w:r>
      <w:r w:rsidR="00A33448">
        <w:rPr>
          <w:lang w:val="es-ES_tradnl" w:eastAsia="es-ES"/>
        </w:rPr>
        <w:t xml:space="preserve"> (</w:t>
      </w:r>
      <w:r w:rsidR="00A33448" w:rsidRPr="00A33448">
        <w:rPr>
          <w:b/>
          <w:bCs/>
          <w:lang w:val="es-ES_tradnl" w:eastAsia="es-ES"/>
        </w:rPr>
        <w:t>EU ETS</w:t>
      </w:r>
      <w:r w:rsidR="00A33448">
        <w:rPr>
          <w:lang w:val="es-ES_tradnl" w:eastAsia="es-ES"/>
        </w:rPr>
        <w:t>)</w:t>
      </w:r>
      <w:r w:rsidRPr="007B2EDC">
        <w:rPr>
          <w:lang w:val="es-ES_tradnl" w:eastAsia="es-ES"/>
        </w:rPr>
        <w:t xml:space="preserve"> respecto a la gestión de las empresas navieras por las autoridades responsables. Este reglamento se enfoca en integrar las emisiones del transporte marítimo en el Régimen de Comercio de Derechos de Emisión (RCDE) de la UE</w:t>
      </w:r>
      <w:r>
        <w:rPr>
          <w:lang w:val="es-ES_tradnl" w:eastAsia="es-ES"/>
        </w:rPr>
        <w:t xml:space="preserve"> y busca </w:t>
      </w:r>
      <w:r w:rsidRPr="007B2EDC">
        <w:rPr>
          <w:lang w:val="es-ES_tradnl" w:eastAsia="es-ES"/>
        </w:rPr>
        <w:t>reducir la carga administrativa para las empresas navieras y asegurar el cumplimiento de las normas de emisión en el sector marítimo, contribuyendo a los objetivos climáticos de la Unión Europea</w:t>
      </w:r>
      <w:r>
        <w:rPr>
          <w:lang w:val="es-ES_tradnl" w:eastAsia="es-ES"/>
        </w:rPr>
        <w:t>.</w:t>
      </w:r>
    </w:p>
    <w:p w14:paraId="785B3339" w14:textId="72981B54" w:rsidR="007B2EDC" w:rsidRDefault="007B2EDC" w:rsidP="007B2EDC">
      <w:pPr>
        <w:pStyle w:val="5GlobalFactor"/>
        <w:rPr>
          <w:lang w:val="es-ES_tradnl" w:eastAsia="es-ES"/>
        </w:rPr>
      </w:pPr>
      <w:r>
        <w:rPr>
          <w:lang w:val="es-ES_tradnl" w:eastAsia="es-ES"/>
        </w:rPr>
        <w:t xml:space="preserve">La </w:t>
      </w:r>
      <w:r w:rsidRPr="00A33448">
        <w:rPr>
          <w:b/>
          <w:bCs/>
          <w:color w:val="C45911" w:themeColor="accent2" w:themeShade="BF"/>
          <w:lang w:val="es-ES_tradnl" w:eastAsia="es-ES"/>
        </w:rPr>
        <w:t>Decisión de Ejecución 2024/411</w:t>
      </w:r>
      <w:r>
        <w:rPr>
          <w:rStyle w:val="Refdenotaalpie"/>
          <w:lang w:val="es-ES_tradnl" w:eastAsia="es-ES"/>
        </w:rPr>
        <w:footnoteReference w:id="30"/>
      </w:r>
      <w:r w:rsidRPr="007B2EDC">
        <w:rPr>
          <w:lang w:val="es-ES_tradnl" w:eastAsia="es-ES"/>
        </w:rPr>
        <w:t xml:space="preserve"> </w:t>
      </w:r>
      <w:r>
        <w:rPr>
          <w:lang w:val="es-ES_tradnl" w:eastAsia="es-ES"/>
        </w:rPr>
        <w:t xml:space="preserve">publica la </w:t>
      </w:r>
      <w:r w:rsidRPr="007B2EDC">
        <w:rPr>
          <w:lang w:val="es-ES_tradnl" w:eastAsia="es-ES"/>
        </w:rPr>
        <w:t xml:space="preserve">lista de empresas navieras y la asignación de su autoridad responsable a efectos de cumplimiento del </w:t>
      </w:r>
      <w:r w:rsidR="00A33448" w:rsidRPr="00A33448">
        <w:rPr>
          <w:b/>
          <w:bCs/>
          <w:lang w:val="es-ES_tradnl" w:eastAsia="es-ES"/>
        </w:rPr>
        <w:t xml:space="preserve">EU </w:t>
      </w:r>
      <w:r w:rsidRPr="00A33448">
        <w:rPr>
          <w:b/>
          <w:bCs/>
          <w:lang w:val="es-ES_tradnl" w:eastAsia="es-ES"/>
        </w:rPr>
        <w:t>ETS</w:t>
      </w:r>
      <w:r w:rsidRPr="007B2EDC">
        <w:rPr>
          <w:lang w:val="es-ES_tradnl" w:eastAsia="es-ES"/>
        </w:rPr>
        <w:t>. A partir de dicha fecha, las empresas navieras disponían de 40 días para solicitar la apertura de la cuenta de haberes de operador marítimo (MOHA). Dado el gran volumen de solicitudes presentado, la administración ha sido flexible con este plazo.</w:t>
      </w:r>
    </w:p>
    <w:p w14:paraId="2534FB63" w14:textId="11754772" w:rsidR="008F250B" w:rsidRDefault="008F250B" w:rsidP="007B2EDC">
      <w:pPr>
        <w:pStyle w:val="5GlobalFactor"/>
        <w:rPr>
          <w:lang w:val="es-ES_tradnl" w:eastAsia="es-ES"/>
        </w:rPr>
      </w:pPr>
      <w:r>
        <w:rPr>
          <w:lang w:val="es-ES_tradnl" w:eastAsia="es-ES"/>
        </w:rPr>
        <w:t xml:space="preserve">El </w:t>
      </w:r>
      <w:r w:rsidRPr="008F250B">
        <w:rPr>
          <w:b/>
          <w:bCs/>
          <w:color w:val="C45911" w:themeColor="accent2" w:themeShade="BF"/>
          <w:lang w:val="es-ES_tradnl" w:eastAsia="es-ES"/>
        </w:rPr>
        <w:t xml:space="preserve">Borrador del Reglamento </w:t>
      </w:r>
      <w:proofErr w:type="gramStart"/>
      <w:r w:rsidRPr="008F250B">
        <w:rPr>
          <w:b/>
          <w:bCs/>
          <w:color w:val="C45911" w:themeColor="accent2" w:themeShade="BF"/>
          <w:lang w:val="es-ES_tradnl" w:eastAsia="es-ES"/>
        </w:rPr>
        <w:t>Delegado</w:t>
      </w:r>
      <w:proofErr w:type="gramEnd"/>
      <w:r>
        <w:rPr>
          <w:rStyle w:val="Refdenotaalpie"/>
          <w:lang w:val="es-ES_tradnl" w:eastAsia="es-ES"/>
        </w:rPr>
        <w:footnoteReference w:id="31"/>
      </w:r>
      <w:r>
        <w:rPr>
          <w:lang w:val="es-ES_tradnl" w:eastAsia="es-ES"/>
        </w:rPr>
        <w:t xml:space="preserve"> </w:t>
      </w:r>
      <w:r w:rsidRPr="008F250B">
        <w:rPr>
          <w:lang w:val="es-ES_tradnl" w:eastAsia="es-ES"/>
        </w:rPr>
        <w:t xml:space="preserve">sobre directrices para la aplicación del </w:t>
      </w:r>
      <w:r w:rsidRPr="008F250B">
        <w:rPr>
          <w:b/>
          <w:bCs/>
          <w:lang w:val="es-ES_tradnl" w:eastAsia="es-ES"/>
        </w:rPr>
        <w:t>ETS y el MRV</w:t>
      </w:r>
      <w:r w:rsidRPr="008F250B">
        <w:rPr>
          <w:lang w:val="es-ES_tradnl" w:eastAsia="es-ES"/>
        </w:rPr>
        <w:t xml:space="preserve"> al transporte marítimo</w:t>
      </w:r>
      <w:r>
        <w:rPr>
          <w:color w:val="C45911" w:themeColor="accent2" w:themeShade="BF"/>
          <w:lang w:val="es-ES_tradnl" w:eastAsia="es-ES"/>
        </w:rPr>
        <w:t xml:space="preserve"> </w:t>
      </w:r>
      <w:r w:rsidRPr="008F250B">
        <w:rPr>
          <w:lang w:val="es-ES_tradnl" w:eastAsia="es-ES"/>
        </w:rPr>
        <w:t>aclara los requisitos aplicables a los buques de alta mar y actualiza las normas aplicables a los combustibles sostenibles. Lo finalmente adoptado respecto a los buques y lo aplicable a la normativa de combustibles sostenibles es:</w:t>
      </w:r>
    </w:p>
    <w:p w14:paraId="01C13E1D" w14:textId="6F17681D" w:rsidR="008F250B" w:rsidRDefault="008F250B" w:rsidP="00002BC2">
      <w:pPr>
        <w:pStyle w:val="5GlobalFactor"/>
        <w:numPr>
          <w:ilvl w:val="0"/>
          <w:numId w:val="72"/>
        </w:numPr>
        <w:rPr>
          <w:lang w:val="es-ES_tradnl" w:eastAsia="es-ES"/>
        </w:rPr>
      </w:pPr>
      <w:r w:rsidRPr="008F250B">
        <w:rPr>
          <w:u w:val="single"/>
          <w:lang w:val="es-ES_tradnl" w:eastAsia="es-ES"/>
        </w:rPr>
        <w:t>Buques incluidos en el MRV a partir del 1 de enero de 2025 (buques offshore &gt; 400 GT)</w:t>
      </w:r>
      <w:r w:rsidRPr="008F250B">
        <w:rPr>
          <w:lang w:val="es-ES_tradnl" w:eastAsia="es-ES"/>
        </w:rPr>
        <w:t>: buque de suministro y manejo de anclas; buque de abastecimiento en alta mar; buque de tripulación o abastecimiento; buque transportador de tuberías; buque de abastecimiento de plataforma; buque de perforación; buque flotante de producción, almacenamiento y descarga de petróleo; buque de tratamiento de gas; buque flotante de almacenamiento y descarga de gas; buque flotante de almacenamiento y descarga de petróleo; buque de alojamiento; buque auxiliar de buceo; buque de construcción en alta mar; buque auxiliar en alta mar; buque de enterramiento de tuberías; buque de tendido de tuberías; buque de tendido de tuberías con grúa; buque de prueba de producción; buque de apoyo de seguridad; buque auxiliar de tendido; buque de estimulación de pozos; buque cablero de tendido; buque cablero de reparación; buque minero; buque de instalación de turbinas eólicas; buque de operaciones de servicios de construcción; buque de operaciones de servicios; buque de trabajo o reparación; buque oceanográfico; buque draga; buque gánguil.</w:t>
      </w:r>
    </w:p>
    <w:p w14:paraId="1CD422A7" w14:textId="70865822" w:rsidR="008F250B" w:rsidRDefault="008F250B" w:rsidP="00002BC2">
      <w:pPr>
        <w:pStyle w:val="5GlobalFactor"/>
        <w:numPr>
          <w:ilvl w:val="0"/>
          <w:numId w:val="72"/>
        </w:numPr>
        <w:rPr>
          <w:lang w:val="es-ES_tradnl" w:eastAsia="es-ES"/>
        </w:rPr>
      </w:pPr>
      <w:r w:rsidRPr="008F250B">
        <w:rPr>
          <w:u w:val="single"/>
          <w:lang w:val="es-ES_tradnl" w:eastAsia="es-ES"/>
        </w:rPr>
        <w:t>Normativa aplicable a los combustibles sostenibles</w:t>
      </w:r>
      <w:r w:rsidRPr="008F250B">
        <w:rPr>
          <w:lang w:val="es-ES_tradnl" w:eastAsia="es-ES"/>
        </w:rPr>
        <w:t>: las empresas no aplicarán las normas establecidas en el anexo I, parte A, del Reglamento (UE) 2015/757 en lo que respecta a la determinación de los factores de emisión de CO</w:t>
      </w:r>
      <w:r w:rsidRPr="000E7DAF">
        <w:rPr>
          <w:vertAlign w:val="subscript"/>
          <w:lang w:val="es-ES_tradnl" w:eastAsia="es-ES"/>
        </w:rPr>
        <w:t>2</w:t>
      </w:r>
      <w:r w:rsidRPr="008F250B">
        <w:rPr>
          <w:lang w:val="es-ES_tradnl" w:eastAsia="es-ES"/>
        </w:rPr>
        <w:t xml:space="preserve"> cuando la empresa utilice combustibles renovables de origen no biológico, </w:t>
      </w:r>
      <w:r w:rsidRPr="008F250B">
        <w:rPr>
          <w:lang w:val="es-ES_tradnl" w:eastAsia="es-ES"/>
        </w:rPr>
        <w:lastRenderedPageBreak/>
        <w:t xml:space="preserve">combustible de carbono reciclado o combustible sintético </w:t>
      </w:r>
      <w:proofErr w:type="spellStart"/>
      <w:r w:rsidRPr="008F250B">
        <w:rPr>
          <w:lang w:val="es-ES_tradnl" w:eastAsia="es-ES"/>
        </w:rPr>
        <w:t>hipocarbónico</w:t>
      </w:r>
      <w:proofErr w:type="spellEnd"/>
      <w:r w:rsidRPr="008F250B">
        <w:rPr>
          <w:lang w:val="es-ES_tradnl" w:eastAsia="es-ES"/>
        </w:rPr>
        <w:t>. En tales casos, el factor de emisión de CO</w:t>
      </w:r>
      <w:r w:rsidRPr="000E7DAF">
        <w:rPr>
          <w:vertAlign w:val="subscript"/>
          <w:lang w:val="es-ES_tradnl" w:eastAsia="es-ES"/>
        </w:rPr>
        <w:t>2</w:t>
      </w:r>
      <w:r w:rsidRPr="008F250B">
        <w:rPr>
          <w:lang w:val="es-ES_tradnl" w:eastAsia="es-ES"/>
        </w:rPr>
        <w:t xml:space="preserve"> se determinará de conformidad con el Reglamento de Ejecución (UE) 2018/2066</w:t>
      </w:r>
      <w:r>
        <w:rPr>
          <w:lang w:val="es-ES_tradnl" w:eastAsia="es-ES"/>
        </w:rPr>
        <w:t>.</w:t>
      </w:r>
    </w:p>
    <w:p w14:paraId="08671319" w14:textId="19FFD361" w:rsidR="000E7DAF" w:rsidRDefault="000E7DAF" w:rsidP="000E7DAF">
      <w:pPr>
        <w:pStyle w:val="5GlobalFactor"/>
        <w:rPr>
          <w:lang w:val="es-ES_tradnl" w:eastAsia="es-ES"/>
        </w:rPr>
      </w:pPr>
      <w:r>
        <w:rPr>
          <w:lang w:val="es-ES_tradnl" w:eastAsia="es-ES"/>
        </w:rPr>
        <w:t xml:space="preserve">El nuevo </w:t>
      </w:r>
      <w:r w:rsidRPr="000E7DAF">
        <w:rPr>
          <w:b/>
          <w:bCs/>
          <w:color w:val="25775E"/>
          <w:lang w:val="es-ES_tradnl" w:eastAsia="es-ES"/>
        </w:rPr>
        <w:t>Paquete legislativo sobre «seguridad marítima»</w:t>
      </w:r>
      <w:r>
        <w:rPr>
          <w:rStyle w:val="Refdenotaalpie"/>
          <w:lang w:val="es-ES_tradnl" w:eastAsia="es-ES"/>
        </w:rPr>
        <w:footnoteReference w:id="32"/>
      </w:r>
      <w:r>
        <w:rPr>
          <w:lang w:val="es-ES_tradnl" w:eastAsia="es-ES"/>
        </w:rPr>
        <w:t xml:space="preserve"> adoptado por el Consejo de la UE contiene </w:t>
      </w:r>
      <w:r w:rsidRPr="000E7DAF">
        <w:rPr>
          <w:lang w:val="es-ES_tradnl" w:eastAsia="es-ES"/>
        </w:rPr>
        <w:t>cuatro nuevas normativas para mejorar la seguridad marítima y proteger el medio ambiente. Estas incluyen la ampliación de la investigación de accidentes a buques pesqueros pequeños, sanciones más estrictas por contaminación, un mejor cumplimiento de las normativas internacionales por parte de los buques y una mejora en las inspecciones de buques extranjeros en puertos. Los Estados miembros tendrán 30 meses para implementarlas.</w:t>
      </w:r>
    </w:p>
    <w:p w14:paraId="5DAE1F40" w14:textId="54AF82C7" w:rsidR="003639D9" w:rsidRDefault="003639D9" w:rsidP="000E7DAF">
      <w:pPr>
        <w:pStyle w:val="5GlobalFactor"/>
        <w:rPr>
          <w:lang w:val="es-ES_tradnl" w:eastAsia="es-ES"/>
        </w:rPr>
      </w:pPr>
      <w:r>
        <w:rPr>
          <w:lang w:val="es-ES_tradnl" w:eastAsia="es-ES"/>
        </w:rPr>
        <w:t xml:space="preserve">El Gobierno de Reino Unido ha lanzado una nueva </w:t>
      </w:r>
      <w:r w:rsidRPr="00DB06C6">
        <w:rPr>
          <w:b/>
          <w:bCs/>
          <w:color w:val="25775E"/>
          <w:lang w:val="es-ES_tradnl" w:eastAsia="es-ES"/>
        </w:rPr>
        <w:t>Consulta sobre el UK ETS y el Transporte Marítimo</w:t>
      </w:r>
      <w:r>
        <w:rPr>
          <w:rStyle w:val="Refdenotaalpie"/>
          <w:lang w:val="es-ES_tradnl" w:eastAsia="es-ES"/>
        </w:rPr>
        <w:footnoteReference w:id="33"/>
      </w:r>
      <w:r w:rsidR="00DB06C6">
        <w:rPr>
          <w:lang w:val="es-ES_tradnl" w:eastAsia="es-ES"/>
        </w:rPr>
        <w:t xml:space="preserve"> centrada en dos aspectos claves: la implementación y el ámbito de aplicación. Los aspectos más destacados son:</w:t>
      </w:r>
    </w:p>
    <w:p w14:paraId="5D1E0C48" w14:textId="66644147" w:rsidR="00DB06C6" w:rsidRDefault="00DB06C6" w:rsidP="00002BC2">
      <w:pPr>
        <w:pStyle w:val="5GlobalFactor"/>
        <w:numPr>
          <w:ilvl w:val="0"/>
          <w:numId w:val="74"/>
        </w:numPr>
        <w:rPr>
          <w:lang w:val="es-ES_tradnl" w:eastAsia="es-ES"/>
        </w:rPr>
      </w:pPr>
      <w:r w:rsidRPr="00DB06C6">
        <w:rPr>
          <w:u w:val="single"/>
          <w:lang w:val="es-ES_tradnl" w:eastAsia="es-ES"/>
        </w:rPr>
        <w:t>Extensión a viajes internacionales</w:t>
      </w:r>
      <w:r w:rsidRPr="00DB06C6">
        <w:rPr>
          <w:lang w:val="es-ES_tradnl" w:eastAsia="es-ES"/>
        </w:rPr>
        <w:t>: Se propone incluir los viajes entre el Reino Unido y el Espacio Económico Europeo (EEA) en el UK ETS, cubriendo el 50% de sus emisiones. Este porcentaje complementaría el 50% ya cubierto por el EU ETS, resultando en una cobertura total del 100% (mitad para cada sistema).</w:t>
      </w:r>
    </w:p>
    <w:p w14:paraId="5C64A2AC" w14:textId="029C92BF" w:rsidR="00DB06C6" w:rsidRDefault="00DB06C6" w:rsidP="00002BC2">
      <w:pPr>
        <w:pStyle w:val="5GlobalFactor"/>
        <w:numPr>
          <w:ilvl w:val="0"/>
          <w:numId w:val="74"/>
        </w:numPr>
        <w:rPr>
          <w:lang w:val="es-ES_tradnl" w:eastAsia="es-ES"/>
        </w:rPr>
      </w:pPr>
      <w:r w:rsidRPr="00DB06C6">
        <w:rPr>
          <w:u w:val="single"/>
          <w:lang w:val="es-ES_tradnl" w:eastAsia="es-ES"/>
        </w:rPr>
        <w:t>Implementación en el cabotaje</w:t>
      </w:r>
      <w:r w:rsidRPr="00DB06C6">
        <w:rPr>
          <w:lang w:val="es-ES_tradnl" w:eastAsia="es-ES"/>
        </w:rPr>
        <w:t>: A partir de 2026, se aplicará a buques de más de 5,000 GT que realicen tráfico de cabotaje, incluyendo emisiones en fondeo, amarre y movimientos dentro de los puertos. Además, hay una propuesta para establecer límites de minimis o exenciones para buques de bajas emisiones</w:t>
      </w:r>
      <w:r>
        <w:rPr>
          <w:lang w:val="es-ES_tradnl" w:eastAsia="es-ES"/>
        </w:rPr>
        <w:t>.</w:t>
      </w:r>
    </w:p>
    <w:p w14:paraId="2C29D213" w14:textId="4A9DED85" w:rsidR="00DB06C6" w:rsidRDefault="00DB06C6" w:rsidP="00002BC2">
      <w:pPr>
        <w:pStyle w:val="5GlobalFactor"/>
        <w:numPr>
          <w:ilvl w:val="0"/>
          <w:numId w:val="74"/>
        </w:numPr>
        <w:rPr>
          <w:lang w:val="es-ES_tradnl" w:eastAsia="es-ES"/>
        </w:rPr>
      </w:pPr>
      <w:r w:rsidRPr="00DB06C6">
        <w:rPr>
          <w:u w:val="single"/>
          <w:lang w:val="es-ES_tradnl" w:eastAsia="es-ES"/>
        </w:rPr>
        <w:t>Otros cambios relevantes</w:t>
      </w:r>
      <w:r w:rsidRPr="00DB06C6">
        <w:rPr>
          <w:lang w:val="es-ES_tradnl" w:eastAsia="es-ES"/>
        </w:rPr>
        <w:t>: Incorporación de nuevos gases de efecto invernadero como el metano y el óxido nitroso. Por otro lado, inclusión de viajes entre Irlanda del Norte y Gran Bretaña, aunque podría reducirse la cobertura al 50% para evitar fugas de carbono hacia la República de Irlanda</w:t>
      </w:r>
    </w:p>
    <w:p w14:paraId="24715CD6" w14:textId="336D000D" w:rsidR="00FA3C3A" w:rsidRPr="00F03908" w:rsidRDefault="00F03908" w:rsidP="00FA3C3A">
      <w:pPr>
        <w:pStyle w:val="5GlobalFactor"/>
        <w:rPr>
          <w:lang w:val="es-ES_tradnl" w:eastAsia="es-ES"/>
        </w:rPr>
      </w:pPr>
      <w:r>
        <w:rPr>
          <w:lang w:val="es-ES_tradnl" w:eastAsia="es-ES"/>
        </w:rPr>
        <w:t xml:space="preserve">La </w:t>
      </w:r>
      <w:r w:rsidRPr="00F03908">
        <w:rPr>
          <w:b/>
          <w:bCs/>
          <w:color w:val="C45911" w:themeColor="accent2" w:themeShade="BF"/>
          <w:lang w:val="es-ES_tradnl" w:eastAsia="es-ES"/>
        </w:rPr>
        <w:t>Directiva (UE) 2024/3101</w:t>
      </w:r>
      <w:r>
        <w:rPr>
          <w:rStyle w:val="Refdenotaalpie"/>
          <w:lang w:val="es-ES_tradnl" w:eastAsia="es-ES"/>
        </w:rPr>
        <w:footnoteReference w:id="34"/>
      </w:r>
      <w:r>
        <w:rPr>
          <w:lang w:val="es-ES_tradnl" w:eastAsia="es-ES"/>
        </w:rPr>
        <w:t xml:space="preserve"> modifica la </w:t>
      </w:r>
      <w:r w:rsidRPr="00F03908">
        <w:rPr>
          <w:b/>
          <w:bCs/>
          <w:lang w:val="es-ES_tradnl" w:eastAsia="es-ES"/>
        </w:rPr>
        <w:t>Directiva de contaminación procedente de buques (Directiva 2005/35/CE)</w:t>
      </w:r>
      <w:r>
        <w:rPr>
          <w:b/>
          <w:bCs/>
          <w:lang w:val="es-ES_tradnl" w:eastAsia="es-ES"/>
        </w:rPr>
        <w:t xml:space="preserve"> </w:t>
      </w:r>
      <w:r>
        <w:rPr>
          <w:lang w:val="es-ES_tradnl" w:eastAsia="es-ES"/>
        </w:rPr>
        <w:t xml:space="preserve">y actualiza </w:t>
      </w:r>
      <w:r w:rsidRPr="00F03908">
        <w:rPr>
          <w:lang w:val="es-ES_tradnl" w:eastAsia="es-ES"/>
        </w:rPr>
        <w:t>normas sobre contaminación por buques, introduce sanciones, refuerza la integración con estándares internacionales, y establece plazos de implementación hasta 2027. Incluye nuevas disposiciones sobre basura plástica, pérdida de contenedores y datos ambientales, alineándose con el Convenio M</w:t>
      </w:r>
      <w:r>
        <w:rPr>
          <w:lang w:val="es-ES_tradnl" w:eastAsia="es-ES"/>
        </w:rPr>
        <w:t>ARPOL.</w:t>
      </w:r>
    </w:p>
    <w:p w14:paraId="6E284B42" w14:textId="77777777" w:rsidR="00F03908" w:rsidRPr="00FA3C3A" w:rsidRDefault="00F03908" w:rsidP="00FA3C3A">
      <w:pPr>
        <w:pStyle w:val="5GlobalFactor"/>
        <w:rPr>
          <w:lang w:val="es-ES_tradnl" w:eastAsia="es-ES"/>
        </w:rPr>
      </w:pPr>
    </w:p>
    <w:p w14:paraId="5C249F83" w14:textId="1ADC225B" w:rsidR="0089303E" w:rsidRDefault="0089303E" w:rsidP="00684572">
      <w:pPr>
        <w:pStyle w:val="5GlobalFactor"/>
        <w:rPr>
          <w:lang w:val="es-ES_tradnl" w:eastAsia="es-ES"/>
        </w:rPr>
        <w:sectPr w:rsidR="0089303E" w:rsidSect="00D15C5F">
          <w:headerReference w:type="default" r:id="rId21"/>
          <w:footerReference w:type="default" r:id="rId22"/>
          <w:headerReference w:type="first" r:id="rId23"/>
          <w:footerReference w:type="first" r:id="rId24"/>
          <w:type w:val="nextColumn"/>
          <w:pgSz w:w="11906" w:h="16838"/>
          <w:pgMar w:top="1418" w:right="1418" w:bottom="1418" w:left="1418" w:header="907" w:footer="352" w:gutter="0"/>
          <w:cols w:space="708"/>
          <w:titlePg/>
          <w:docGrid w:linePitch="360"/>
        </w:sectPr>
      </w:pPr>
    </w:p>
    <w:p w14:paraId="479FAA6D" w14:textId="1C42924E" w:rsidR="00F411D5" w:rsidRDefault="0089303E" w:rsidP="0089303E">
      <w:pPr>
        <w:pStyle w:val="2Titulodeseccin"/>
        <w:numPr>
          <w:ilvl w:val="0"/>
          <w:numId w:val="0"/>
        </w:numPr>
        <w:ind w:left="357" w:hanging="357"/>
        <w:rPr>
          <w:lang w:eastAsia="es-ES"/>
        </w:rPr>
      </w:pPr>
      <w:bookmarkStart w:id="17" w:name="_Toc186440730"/>
      <w:r>
        <w:rPr>
          <w:lang w:eastAsia="es-ES"/>
        </w:rPr>
        <w:lastRenderedPageBreak/>
        <w:t>Anexo I: Matriz de orientación a la normativa medioambiental</w:t>
      </w:r>
      <w:bookmarkEnd w:id="17"/>
    </w:p>
    <w:tbl>
      <w:tblPr>
        <w:tblStyle w:val="Tablaconcuadrcula4-nfasis61"/>
        <w:tblW w:w="5834" w:type="pct"/>
        <w:tblInd w:w="-11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9"/>
        <w:gridCol w:w="2129"/>
        <w:gridCol w:w="2837"/>
        <w:gridCol w:w="2416"/>
        <w:gridCol w:w="2841"/>
        <w:gridCol w:w="2697"/>
        <w:gridCol w:w="2837"/>
      </w:tblGrid>
      <w:tr w:rsidR="00435E18" w:rsidRPr="0089303E" w14:paraId="49D1ABE4" w14:textId="77777777" w:rsidTr="00435E18">
        <w:trPr>
          <w:cnfStyle w:val="100000000000" w:firstRow="1" w:lastRow="0" w:firstColumn="0" w:lastColumn="0" w:oddVBand="0" w:evenVBand="0" w:oddHBand="0" w:evenHBand="0" w:firstRowFirstColumn="0" w:firstRowLastColumn="0" w:lastRowFirstColumn="0" w:lastRowLastColumn="0"/>
          <w:trHeight w:val="466"/>
          <w:tblHeader/>
        </w:trPr>
        <w:tc>
          <w:tcPr>
            <w:cnfStyle w:val="001000000000" w:firstRow="0" w:lastRow="0" w:firstColumn="1" w:lastColumn="0" w:oddVBand="0" w:evenVBand="0" w:oddHBand="0" w:evenHBand="0" w:firstRowFirstColumn="0" w:firstRowLastColumn="0" w:lastRowFirstColumn="0" w:lastRowLastColumn="0"/>
            <w:tcW w:w="174" w:type="pct"/>
            <w:tcBorders>
              <w:top w:val="single" w:sz="4" w:space="0" w:color="auto"/>
              <w:left w:val="single" w:sz="4" w:space="0" w:color="auto"/>
              <w:bottom w:val="single" w:sz="4" w:space="0" w:color="auto"/>
              <w:right w:val="single" w:sz="4" w:space="0" w:color="auto"/>
            </w:tcBorders>
            <w:shd w:val="clear" w:color="auto" w:fill="3B3838" w:themeFill="background2" w:themeFillShade="40"/>
          </w:tcPr>
          <w:p w14:paraId="1D5CCE68" w14:textId="77777777" w:rsidR="0089303E" w:rsidRPr="0089303E" w:rsidRDefault="0089303E" w:rsidP="0089303E">
            <w:pPr>
              <w:spacing w:after="60"/>
              <w:jc w:val="center"/>
              <w:rPr>
                <w:rFonts w:ascii="Calibri Light" w:eastAsia="Times New Roman" w:hAnsi="Calibri Light" w:cs="Calibri Light"/>
                <w:b w:val="0"/>
                <w:bCs w:val="0"/>
                <w:color w:val="FFFFFF"/>
                <w:sz w:val="18"/>
                <w:szCs w:val="18"/>
                <w:lang w:eastAsia="en-GB"/>
              </w:rPr>
            </w:pPr>
          </w:p>
        </w:tc>
        <w:tc>
          <w:tcPr>
            <w:tcW w:w="652" w:type="pct"/>
            <w:tcBorders>
              <w:top w:val="single" w:sz="4" w:space="0" w:color="auto"/>
              <w:left w:val="single" w:sz="4" w:space="0" w:color="auto"/>
              <w:bottom w:val="single" w:sz="4" w:space="0" w:color="auto"/>
              <w:right w:val="single" w:sz="4" w:space="0" w:color="auto"/>
            </w:tcBorders>
            <w:shd w:val="clear" w:color="auto" w:fill="3B3838" w:themeFill="background2" w:themeFillShade="40"/>
            <w:vAlign w:val="center"/>
          </w:tcPr>
          <w:p w14:paraId="0C6731B1" w14:textId="77777777" w:rsidR="0089303E" w:rsidRPr="0089303E" w:rsidRDefault="0089303E" w:rsidP="0089303E">
            <w:pPr>
              <w:spacing w:after="60"/>
              <w:jc w:val="center"/>
              <w:cnfStyle w:val="100000000000" w:firstRow="1" w:lastRow="0" w:firstColumn="0" w:lastColumn="0" w:oddVBand="0" w:evenVBand="0" w:oddHBand="0" w:evenHBand="0" w:firstRowFirstColumn="0" w:firstRowLastColumn="0" w:lastRowFirstColumn="0" w:lastRowLastColumn="0"/>
              <w:rPr>
                <w:rFonts w:ascii="Calibri Light" w:eastAsia="Times New Roman" w:hAnsi="Calibri Light" w:cs="Calibri Light"/>
                <w:color w:val="FFFFFF"/>
                <w:sz w:val="18"/>
                <w:szCs w:val="18"/>
                <w:lang w:eastAsia="en-GB"/>
              </w:rPr>
            </w:pPr>
            <w:r w:rsidRPr="0089303E">
              <w:rPr>
                <w:rFonts w:ascii="Calibri Light" w:eastAsia="Times New Roman" w:hAnsi="Calibri Light" w:cs="Calibri Light"/>
                <w:color w:val="FFFFFF"/>
                <w:sz w:val="18"/>
                <w:szCs w:val="18"/>
                <w:lang w:eastAsia="en-GB"/>
              </w:rPr>
              <w:t>Convenio / Normativa</w:t>
            </w:r>
          </w:p>
        </w:tc>
        <w:tc>
          <w:tcPr>
            <w:tcW w:w="869" w:type="pct"/>
            <w:tcBorders>
              <w:top w:val="single" w:sz="4" w:space="0" w:color="auto"/>
              <w:left w:val="single" w:sz="4" w:space="0" w:color="auto"/>
              <w:bottom w:val="single" w:sz="4" w:space="0" w:color="auto"/>
              <w:right w:val="single" w:sz="4" w:space="0" w:color="auto"/>
            </w:tcBorders>
            <w:shd w:val="clear" w:color="auto" w:fill="3B3838" w:themeFill="background2" w:themeFillShade="40"/>
            <w:vAlign w:val="center"/>
          </w:tcPr>
          <w:p w14:paraId="6DEA18D5" w14:textId="77777777" w:rsidR="0089303E" w:rsidRPr="0089303E" w:rsidRDefault="0089303E" w:rsidP="0089303E">
            <w:pPr>
              <w:spacing w:after="60"/>
              <w:jc w:val="center"/>
              <w:cnfStyle w:val="100000000000" w:firstRow="1" w:lastRow="0" w:firstColumn="0" w:lastColumn="0" w:oddVBand="0" w:evenVBand="0" w:oddHBand="0" w:evenHBand="0" w:firstRowFirstColumn="0" w:firstRowLastColumn="0" w:lastRowFirstColumn="0" w:lastRowLastColumn="0"/>
              <w:rPr>
                <w:rFonts w:ascii="Calibri Light" w:eastAsia="Times New Roman" w:hAnsi="Calibri Light" w:cs="Calibri Light"/>
                <w:color w:val="FFFFFF"/>
                <w:sz w:val="18"/>
                <w:szCs w:val="18"/>
                <w:lang w:eastAsia="en-GB"/>
              </w:rPr>
            </w:pPr>
            <w:r w:rsidRPr="0089303E">
              <w:rPr>
                <w:rFonts w:ascii="Calibri Light" w:eastAsia="Times New Roman" w:hAnsi="Calibri Light" w:cs="Calibri Light"/>
                <w:color w:val="FFFFFF"/>
                <w:sz w:val="18"/>
                <w:szCs w:val="18"/>
                <w:lang w:eastAsia="en-GB"/>
              </w:rPr>
              <w:t>Empresas, Administraciones portuarias, Terminales marítimas y Almacenamiento y distribución</w:t>
            </w:r>
          </w:p>
        </w:tc>
        <w:tc>
          <w:tcPr>
            <w:tcW w:w="740" w:type="pct"/>
            <w:tcBorders>
              <w:top w:val="single" w:sz="4" w:space="0" w:color="auto"/>
              <w:left w:val="single" w:sz="4" w:space="0" w:color="auto"/>
              <w:bottom w:val="single" w:sz="4" w:space="0" w:color="auto"/>
              <w:right w:val="single" w:sz="4" w:space="0" w:color="auto"/>
            </w:tcBorders>
            <w:shd w:val="clear" w:color="auto" w:fill="3B3838" w:themeFill="background2" w:themeFillShade="40"/>
            <w:vAlign w:val="center"/>
          </w:tcPr>
          <w:p w14:paraId="48C792CC" w14:textId="77777777" w:rsidR="0089303E" w:rsidRPr="0089303E" w:rsidRDefault="0089303E" w:rsidP="0089303E">
            <w:pPr>
              <w:spacing w:after="60"/>
              <w:jc w:val="center"/>
              <w:cnfStyle w:val="100000000000" w:firstRow="1" w:lastRow="0" w:firstColumn="0" w:lastColumn="0" w:oddVBand="0" w:evenVBand="0" w:oddHBand="0" w:evenHBand="0" w:firstRowFirstColumn="0" w:firstRowLastColumn="0" w:lastRowFirstColumn="0" w:lastRowLastColumn="0"/>
              <w:rPr>
                <w:rFonts w:ascii="Calibri Light" w:eastAsia="Times New Roman" w:hAnsi="Calibri Light" w:cs="Calibri Light"/>
                <w:color w:val="FFFFFF"/>
                <w:sz w:val="18"/>
                <w:szCs w:val="18"/>
                <w:lang w:eastAsia="en-GB"/>
              </w:rPr>
            </w:pPr>
            <w:r w:rsidRPr="0089303E">
              <w:rPr>
                <w:rFonts w:ascii="Calibri Light" w:eastAsia="Times New Roman" w:hAnsi="Calibri Light" w:cs="Calibri Light"/>
                <w:color w:val="FFFFFF"/>
                <w:sz w:val="18"/>
                <w:szCs w:val="18"/>
                <w:lang w:eastAsia="en-GB"/>
              </w:rPr>
              <w:t>Transporte ferroviario</w:t>
            </w:r>
          </w:p>
        </w:tc>
        <w:tc>
          <w:tcPr>
            <w:tcW w:w="870" w:type="pct"/>
            <w:tcBorders>
              <w:top w:val="single" w:sz="4" w:space="0" w:color="auto"/>
              <w:left w:val="single" w:sz="4" w:space="0" w:color="auto"/>
              <w:bottom w:val="single" w:sz="4" w:space="0" w:color="auto"/>
              <w:right w:val="single" w:sz="4" w:space="0" w:color="auto"/>
            </w:tcBorders>
            <w:shd w:val="clear" w:color="auto" w:fill="3B3838" w:themeFill="background2" w:themeFillShade="40"/>
            <w:vAlign w:val="center"/>
          </w:tcPr>
          <w:p w14:paraId="2B5779D9" w14:textId="77777777" w:rsidR="0089303E" w:rsidRPr="0089303E" w:rsidRDefault="0089303E" w:rsidP="0089303E">
            <w:pPr>
              <w:spacing w:after="60"/>
              <w:jc w:val="center"/>
              <w:cnfStyle w:val="100000000000" w:firstRow="1" w:lastRow="0" w:firstColumn="0" w:lastColumn="0" w:oddVBand="0" w:evenVBand="0" w:oddHBand="0" w:evenHBand="0" w:firstRowFirstColumn="0" w:firstRowLastColumn="0" w:lastRowFirstColumn="0" w:lastRowLastColumn="0"/>
              <w:rPr>
                <w:rFonts w:ascii="Calibri Light" w:eastAsia="Times New Roman" w:hAnsi="Calibri Light" w:cs="Calibri Light"/>
                <w:color w:val="FFFFFF"/>
                <w:sz w:val="18"/>
                <w:szCs w:val="18"/>
                <w:lang w:eastAsia="en-GB"/>
              </w:rPr>
            </w:pPr>
            <w:r w:rsidRPr="0089303E">
              <w:rPr>
                <w:rFonts w:ascii="Calibri Light" w:eastAsia="Times New Roman" w:hAnsi="Calibri Light" w:cs="Calibri Light"/>
                <w:color w:val="FFFFFF"/>
                <w:sz w:val="18"/>
                <w:szCs w:val="18"/>
                <w:lang w:eastAsia="en-GB"/>
              </w:rPr>
              <w:t>Transporte aéreo</w:t>
            </w:r>
          </w:p>
        </w:tc>
        <w:tc>
          <w:tcPr>
            <w:tcW w:w="826" w:type="pct"/>
            <w:tcBorders>
              <w:top w:val="single" w:sz="4" w:space="0" w:color="auto"/>
              <w:left w:val="single" w:sz="4" w:space="0" w:color="auto"/>
              <w:bottom w:val="single" w:sz="4" w:space="0" w:color="auto"/>
              <w:right w:val="single" w:sz="4" w:space="0" w:color="auto"/>
            </w:tcBorders>
            <w:shd w:val="clear" w:color="auto" w:fill="3B3838" w:themeFill="background2" w:themeFillShade="40"/>
            <w:vAlign w:val="center"/>
          </w:tcPr>
          <w:p w14:paraId="55EA3639" w14:textId="77777777" w:rsidR="0089303E" w:rsidRPr="0089303E" w:rsidRDefault="0089303E" w:rsidP="0089303E">
            <w:pPr>
              <w:spacing w:after="60"/>
              <w:jc w:val="center"/>
              <w:cnfStyle w:val="100000000000" w:firstRow="1" w:lastRow="0" w:firstColumn="0" w:lastColumn="0" w:oddVBand="0" w:evenVBand="0" w:oddHBand="0" w:evenHBand="0" w:firstRowFirstColumn="0" w:firstRowLastColumn="0" w:lastRowFirstColumn="0" w:lastRowLastColumn="0"/>
              <w:rPr>
                <w:rFonts w:ascii="Calibri Light" w:eastAsia="Times New Roman" w:hAnsi="Calibri Light" w:cs="Calibri Light"/>
                <w:color w:val="FFFFFF"/>
                <w:sz w:val="18"/>
                <w:szCs w:val="18"/>
                <w:lang w:eastAsia="en-GB"/>
              </w:rPr>
            </w:pPr>
            <w:r w:rsidRPr="0089303E">
              <w:rPr>
                <w:rFonts w:ascii="Calibri Light" w:eastAsia="Times New Roman" w:hAnsi="Calibri Light" w:cs="Calibri Light"/>
                <w:color w:val="FFFFFF"/>
                <w:sz w:val="18"/>
                <w:szCs w:val="18"/>
                <w:lang w:eastAsia="en-GB"/>
              </w:rPr>
              <w:t>Trasporte por carretera</w:t>
            </w:r>
          </w:p>
        </w:tc>
        <w:tc>
          <w:tcPr>
            <w:tcW w:w="869" w:type="pct"/>
            <w:tcBorders>
              <w:top w:val="single" w:sz="4" w:space="0" w:color="auto"/>
              <w:left w:val="single" w:sz="4" w:space="0" w:color="auto"/>
              <w:bottom w:val="single" w:sz="4" w:space="0" w:color="auto"/>
              <w:right w:val="single" w:sz="4" w:space="0" w:color="auto"/>
            </w:tcBorders>
            <w:shd w:val="clear" w:color="auto" w:fill="3B3838" w:themeFill="background2" w:themeFillShade="40"/>
            <w:vAlign w:val="center"/>
          </w:tcPr>
          <w:p w14:paraId="152F11FC" w14:textId="77777777" w:rsidR="0089303E" w:rsidRPr="0089303E" w:rsidRDefault="0089303E" w:rsidP="0089303E">
            <w:pPr>
              <w:spacing w:after="60"/>
              <w:jc w:val="center"/>
              <w:cnfStyle w:val="100000000000" w:firstRow="1" w:lastRow="0" w:firstColumn="0" w:lastColumn="0" w:oddVBand="0" w:evenVBand="0" w:oddHBand="0" w:evenHBand="0" w:firstRowFirstColumn="0" w:firstRowLastColumn="0" w:lastRowFirstColumn="0" w:lastRowLastColumn="0"/>
              <w:rPr>
                <w:rFonts w:ascii="Calibri Light" w:eastAsia="Times New Roman" w:hAnsi="Calibri Light" w:cs="Calibri Light"/>
                <w:color w:val="FFFFFF"/>
                <w:sz w:val="18"/>
                <w:szCs w:val="18"/>
                <w:lang w:eastAsia="en-GB"/>
              </w:rPr>
            </w:pPr>
            <w:r w:rsidRPr="0089303E">
              <w:rPr>
                <w:rFonts w:ascii="Calibri Light" w:eastAsia="Times New Roman" w:hAnsi="Calibri Light" w:cs="Calibri Light"/>
                <w:color w:val="FFFFFF"/>
                <w:sz w:val="18"/>
                <w:szCs w:val="18"/>
                <w:lang w:eastAsia="en-GB"/>
              </w:rPr>
              <w:t>Transporte marítimo</w:t>
            </w:r>
          </w:p>
        </w:tc>
      </w:tr>
      <w:tr w:rsidR="00F12FAE" w:rsidRPr="0089303E" w14:paraId="30F21EC1" w14:textId="77777777" w:rsidTr="00435E18">
        <w:trPr>
          <w:cnfStyle w:val="000000100000" w:firstRow="0" w:lastRow="0" w:firstColumn="0" w:lastColumn="0" w:oddVBand="0" w:evenVBand="0" w:oddHBand="1" w:evenHBand="0" w:firstRowFirstColumn="0" w:firstRowLastColumn="0" w:lastRowFirstColumn="0" w:lastRowLastColumn="0"/>
          <w:cantSplit/>
          <w:trHeight w:val="761"/>
        </w:trPr>
        <w:tc>
          <w:tcPr>
            <w:cnfStyle w:val="001000000000" w:firstRow="0" w:lastRow="0" w:firstColumn="1" w:lastColumn="0" w:oddVBand="0" w:evenVBand="0" w:oddHBand="0" w:evenHBand="0" w:firstRowFirstColumn="0" w:firstRowLastColumn="0" w:lastRowFirstColumn="0" w:lastRowLastColumn="0"/>
            <w:tcW w:w="174" w:type="pct"/>
            <w:vMerge w:val="restart"/>
            <w:tcBorders>
              <w:top w:val="single" w:sz="4" w:space="0" w:color="auto"/>
            </w:tcBorders>
            <w:shd w:val="clear" w:color="auto" w:fill="1D3C5A"/>
            <w:textDirection w:val="btLr"/>
            <w:vAlign w:val="center"/>
          </w:tcPr>
          <w:p w14:paraId="691CDB46" w14:textId="77777777" w:rsidR="00F12FAE" w:rsidRPr="0089303E" w:rsidRDefault="00F12FAE" w:rsidP="0089303E">
            <w:pPr>
              <w:spacing w:after="60"/>
              <w:ind w:left="113" w:right="113"/>
              <w:jc w:val="center"/>
              <w:rPr>
                <w:rFonts w:ascii="Calibri Light" w:eastAsia="Times New Roman" w:hAnsi="Calibri Light" w:cs="Calibri Light"/>
                <w:color w:val="FFFFFF"/>
                <w:sz w:val="18"/>
                <w:szCs w:val="18"/>
                <w:lang w:eastAsia="en-GB"/>
              </w:rPr>
            </w:pPr>
            <w:r w:rsidRPr="0089303E">
              <w:rPr>
                <w:rFonts w:ascii="Calibri Light" w:eastAsia="Times New Roman" w:hAnsi="Calibri Light" w:cs="Calibri Light"/>
                <w:color w:val="FFFFFF"/>
                <w:sz w:val="18"/>
                <w:szCs w:val="18"/>
                <w:lang w:eastAsia="en-GB"/>
              </w:rPr>
              <w:t>EUROPEO</w:t>
            </w:r>
          </w:p>
        </w:tc>
        <w:tc>
          <w:tcPr>
            <w:tcW w:w="652" w:type="pct"/>
            <w:tcBorders>
              <w:top w:val="single" w:sz="4" w:space="0" w:color="auto"/>
            </w:tcBorders>
            <w:shd w:val="clear" w:color="auto" w:fill="auto"/>
            <w:vAlign w:val="center"/>
          </w:tcPr>
          <w:p w14:paraId="1314EA05" w14:textId="77777777" w:rsidR="00F12FAE" w:rsidRPr="0089303E" w:rsidRDefault="00F12FAE" w:rsidP="0089303E">
            <w:pPr>
              <w:spacing w:after="60"/>
              <w:jc w:val="left"/>
              <w:cnfStyle w:val="000000100000" w:firstRow="0" w:lastRow="0" w:firstColumn="0" w:lastColumn="0" w:oddVBand="0" w:evenVBand="0" w:oddHBand="1" w:evenHBand="0" w:firstRowFirstColumn="0" w:firstRowLastColumn="0" w:lastRowFirstColumn="0" w:lastRowLastColumn="0"/>
              <w:rPr>
                <w:rFonts w:ascii="Calibri Light" w:hAnsi="Calibri Light" w:cs="Calibri Light"/>
                <w:b/>
                <w:bCs/>
                <w:color w:val="2F5496"/>
                <w:sz w:val="18"/>
                <w:szCs w:val="18"/>
              </w:rPr>
            </w:pPr>
            <w:r w:rsidRPr="00377592">
              <w:rPr>
                <w:rFonts w:ascii="Calibri Light" w:hAnsi="Calibri Light" w:cs="Calibri Light"/>
                <w:b/>
                <w:bCs/>
                <w:sz w:val="18"/>
                <w:szCs w:val="18"/>
              </w:rPr>
              <w:t>Directiva sobre Instalaciones Portuarias para desechos de buques</w:t>
            </w:r>
          </w:p>
        </w:tc>
        <w:tc>
          <w:tcPr>
            <w:tcW w:w="869" w:type="pct"/>
            <w:tcBorders>
              <w:top w:val="single" w:sz="4" w:space="0" w:color="auto"/>
            </w:tcBorders>
            <w:shd w:val="clear" w:color="auto" w:fill="auto"/>
            <w:vAlign w:val="center"/>
          </w:tcPr>
          <w:p w14:paraId="24627046" w14:textId="77777777" w:rsidR="00F12FAE" w:rsidRPr="0089303E" w:rsidRDefault="00F12FAE" w:rsidP="0089303E">
            <w:pPr>
              <w:spacing w:after="6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 xml:space="preserve">Transpuesta por el </w:t>
            </w:r>
            <w:r w:rsidRPr="0089303E">
              <w:rPr>
                <w:rFonts w:ascii="Calibri" w:hAnsi="Calibri" w:cs="Calibri"/>
                <w:b/>
                <w:bCs/>
                <w:color w:val="auto"/>
                <w:sz w:val="16"/>
                <w:szCs w:val="16"/>
              </w:rPr>
              <w:t>RD 128/2022</w:t>
            </w:r>
            <w:r w:rsidRPr="0089303E">
              <w:rPr>
                <w:rFonts w:ascii="Calibri" w:hAnsi="Calibri" w:cs="Calibri"/>
                <w:color w:val="auto"/>
                <w:sz w:val="16"/>
                <w:szCs w:val="16"/>
              </w:rPr>
              <w:t>, determina que:</w:t>
            </w:r>
          </w:p>
          <w:p w14:paraId="6F79F895" w14:textId="77777777" w:rsidR="00F12FAE" w:rsidRPr="0089303E" w:rsidRDefault="00F12FAE" w:rsidP="00002BC2">
            <w:pPr>
              <w:numPr>
                <w:ilvl w:val="0"/>
                <w:numId w:val="35"/>
              </w:numPr>
              <w:spacing w:after="60"/>
              <w:ind w:left="464"/>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Todos los buques que hagan escala en puerto español deberán entregar sus desechos antes de abandonar el puerto, excepto si tiene capacidad de almacenaje para todos los desechos generados y previstos hasta el siguiente puerto.</w:t>
            </w:r>
          </w:p>
          <w:p w14:paraId="35424D16" w14:textId="77777777" w:rsidR="00F12FAE" w:rsidRPr="0089303E" w:rsidRDefault="00F12FAE" w:rsidP="00002BC2">
            <w:pPr>
              <w:numPr>
                <w:ilvl w:val="0"/>
                <w:numId w:val="35"/>
              </w:numPr>
              <w:spacing w:after="60"/>
              <w:ind w:left="464"/>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Los buques pagarán una tarifa fija para el derecho a descargar, sin coste adicional durante los primeros 7 días.</w:t>
            </w:r>
          </w:p>
          <w:p w14:paraId="4B9420A1" w14:textId="77777777" w:rsidR="00F12FAE" w:rsidRPr="0089303E" w:rsidRDefault="00F12FAE" w:rsidP="00002BC2">
            <w:pPr>
              <w:numPr>
                <w:ilvl w:val="0"/>
                <w:numId w:val="35"/>
              </w:numPr>
              <w:spacing w:after="60"/>
              <w:ind w:left="464"/>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Si un buque entrega una cantidad excesiva de desechos, se puede aplicar una tarifa extra.</w:t>
            </w:r>
          </w:p>
          <w:p w14:paraId="0CB49FF3" w14:textId="77777777" w:rsidR="00F12FAE" w:rsidRPr="0089303E" w:rsidRDefault="00F12FAE" w:rsidP="00002BC2">
            <w:pPr>
              <w:numPr>
                <w:ilvl w:val="0"/>
                <w:numId w:val="35"/>
              </w:numPr>
              <w:spacing w:after="60"/>
              <w:ind w:left="464"/>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Las tarifas varían en función del tipo de buque y se aplica tarifa reducida a los «buques verdes».</w:t>
            </w:r>
          </w:p>
        </w:tc>
        <w:tc>
          <w:tcPr>
            <w:tcW w:w="740" w:type="pct"/>
            <w:tcBorders>
              <w:top w:val="single" w:sz="4" w:space="0" w:color="auto"/>
            </w:tcBorders>
            <w:shd w:val="clear" w:color="auto" w:fill="auto"/>
            <w:vAlign w:val="center"/>
          </w:tcPr>
          <w:p w14:paraId="0868F07E" w14:textId="77777777" w:rsidR="00F12FAE" w:rsidRPr="0089303E" w:rsidRDefault="00F12FAE" w:rsidP="0089303E">
            <w:pPr>
              <w:spacing w:after="6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6"/>
                <w:szCs w:val="16"/>
              </w:rPr>
            </w:pPr>
          </w:p>
        </w:tc>
        <w:tc>
          <w:tcPr>
            <w:tcW w:w="870" w:type="pct"/>
            <w:tcBorders>
              <w:top w:val="single" w:sz="4" w:space="0" w:color="auto"/>
            </w:tcBorders>
            <w:shd w:val="clear" w:color="auto" w:fill="auto"/>
            <w:vAlign w:val="center"/>
          </w:tcPr>
          <w:p w14:paraId="3CDEC2A1" w14:textId="77777777" w:rsidR="00F12FAE" w:rsidRPr="0089303E" w:rsidRDefault="00F12FAE" w:rsidP="0089303E">
            <w:pPr>
              <w:spacing w:after="6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6"/>
                <w:szCs w:val="16"/>
              </w:rPr>
            </w:pPr>
          </w:p>
        </w:tc>
        <w:tc>
          <w:tcPr>
            <w:tcW w:w="826" w:type="pct"/>
            <w:tcBorders>
              <w:top w:val="single" w:sz="4" w:space="0" w:color="auto"/>
            </w:tcBorders>
            <w:shd w:val="clear" w:color="auto" w:fill="auto"/>
            <w:vAlign w:val="center"/>
          </w:tcPr>
          <w:p w14:paraId="48DD5E73" w14:textId="77777777" w:rsidR="00F12FAE" w:rsidRPr="0089303E" w:rsidRDefault="00F12FAE" w:rsidP="0089303E">
            <w:pPr>
              <w:spacing w:after="6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6"/>
                <w:szCs w:val="16"/>
              </w:rPr>
            </w:pPr>
          </w:p>
        </w:tc>
        <w:tc>
          <w:tcPr>
            <w:tcW w:w="869" w:type="pct"/>
            <w:tcBorders>
              <w:top w:val="single" w:sz="4" w:space="0" w:color="auto"/>
            </w:tcBorders>
            <w:shd w:val="clear" w:color="auto" w:fill="auto"/>
            <w:vAlign w:val="center"/>
          </w:tcPr>
          <w:p w14:paraId="6F7D31F3" w14:textId="77777777" w:rsidR="00F12FAE" w:rsidRPr="0089303E" w:rsidRDefault="00F12FAE" w:rsidP="0089303E">
            <w:pPr>
              <w:spacing w:after="6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6"/>
                <w:szCs w:val="16"/>
              </w:rPr>
            </w:pPr>
          </w:p>
        </w:tc>
      </w:tr>
      <w:tr w:rsidR="00435E18" w:rsidRPr="0089303E" w14:paraId="6B727CA9" w14:textId="77777777" w:rsidTr="00435E18">
        <w:trPr>
          <w:cantSplit/>
          <w:trHeight w:val="761"/>
        </w:trPr>
        <w:tc>
          <w:tcPr>
            <w:cnfStyle w:val="001000000000" w:firstRow="0" w:lastRow="0" w:firstColumn="1" w:lastColumn="0" w:oddVBand="0" w:evenVBand="0" w:oddHBand="0" w:evenHBand="0" w:firstRowFirstColumn="0" w:firstRowLastColumn="0" w:lastRowFirstColumn="0" w:lastRowLastColumn="0"/>
            <w:tcW w:w="174" w:type="pct"/>
            <w:vMerge/>
            <w:shd w:val="clear" w:color="auto" w:fill="1D3C5A"/>
            <w:textDirection w:val="btLr"/>
            <w:vAlign w:val="center"/>
          </w:tcPr>
          <w:p w14:paraId="5392A61B" w14:textId="77777777" w:rsidR="00F12FAE" w:rsidRPr="0089303E" w:rsidRDefault="00F12FAE" w:rsidP="0089303E">
            <w:pPr>
              <w:spacing w:after="60"/>
              <w:ind w:left="113" w:right="113"/>
              <w:jc w:val="center"/>
              <w:rPr>
                <w:rFonts w:ascii="Calibri Light" w:eastAsia="Times New Roman" w:hAnsi="Calibri Light" w:cs="Calibri Light"/>
                <w:color w:val="FFFFFF"/>
                <w:sz w:val="18"/>
                <w:szCs w:val="18"/>
                <w:lang w:eastAsia="en-GB"/>
              </w:rPr>
            </w:pPr>
          </w:p>
        </w:tc>
        <w:tc>
          <w:tcPr>
            <w:tcW w:w="652" w:type="pct"/>
            <w:shd w:val="clear" w:color="auto" w:fill="F6F9FC"/>
            <w:vAlign w:val="center"/>
          </w:tcPr>
          <w:p w14:paraId="3BFB4B67" w14:textId="77777777" w:rsidR="00F12FAE" w:rsidRPr="00377592" w:rsidRDefault="00F12FAE" w:rsidP="0089303E">
            <w:pPr>
              <w:spacing w:after="60"/>
              <w:jc w:val="left"/>
              <w:cnfStyle w:val="000000000000" w:firstRow="0" w:lastRow="0" w:firstColumn="0" w:lastColumn="0" w:oddVBand="0" w:evenVBand="0" w:oddHBand="0" w:evenHBand="0" w:firstRowFirstColumn="0" w:firstRowLastColumn="0" w:lastRowFirstColumn="0" w:lastRowLastColumn="0"/>
              <w:rPr>
                <w:rFonts w:ascii="Calibri Light" w:hAnsi="Calibri Light" w:cs="Calibri Light"/>
                <w:b/>
                <w:bCs/>
                <w:sz w:val="18"/>
                <w:szCs w:val="18"/>
              </w:rPr>
            </w:pPr>
            <w:r w:rsidRPr="00377592">
              <w:rPr>
                <w:rFonts w:ascii="Calibri Light" w:hAnsi="Calibri Light" w:cs="Calibri Light"/>
                <w:b/>
                <w:bCs/>
                <w:sz w:val="18"/>
                <w:szCs w:val="18"/>
              </w:rPr>
              <w:t>Taxonomía para facilitar las inversiones sostenibles</w:t>
            </w:r>
          </w:p>
        </w:tc>
        <w:tc>
          <w:tcPr>
            <w:tcW w:w="869" w:type="pct"/>
            <w:shd w:val="clear" w:color="auto" w:fill="F6F9FC"/>
            <w:vAlign w:val="center"/>
          </w:tcPr>
          <w:p w14:paraId="32886FFB" w14:textId="77777777" w:rsidR="00F12FAE" w:rsidRPr="0089303E" w:rsidRDefault="00F12FAE" w:rsidP="0089303E">
            <w:pPr>
              <w:spacing w:after="6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Clasifica las actividades en:</w:t>
            </w:r>
          </w:p>
          <w:p w14:paraId="373CC78D" w14:textId="77777777" w:rsidR="00F12FAE" w:rsidRPr="0089303E" w:rsidRDefault="00F12FAE" w:rsidP="00002BC2">
            <w:pPr>
              <w:numPr>
                <w:ilvl w:val="0"/>
                <w:numId w:val="36"/>
              </w:numPr>
              <w:spacing w:after="60"/>
              <w:ind w:left="465"/>
              <w:contextualSpacing/>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De transición: no existe alternativa de bajas emisiones ni tecnológica ni económicamente viable.</w:t>
            </w:r>
          </w:p>
          <w:p w14:paraId="31C03E1F" w14:textId="77777777" w:rsidR="00F12FAE" w:rsidRPr="0089303E" w:rsidRDefault="00F12FAE" w:rsidP="00002BC2">
            <w:pPr>
              <w:numPr>
                <w:ilvl w:val="0"/>
                <w:numId w:val="36"/>
              </w:numPr>
              <w:spacing w:after="60"/>
              <w:ind w:left="465"/>
              <w:contextualSpacing/>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Facilitadoras: permiten a otras actividades realizar una contribución sustancial a objetivos medioambientales.</w:t>
            </w:r>
          </w:p>
          <w:p w14:paraId="371BF332" w14:textId="77777777" w:rsidR="00F12FAE" w:rsidRPr="0089303E" w:rsidRDefault="00F12FAE" w:rsidP="00002BC2">
            <w:pPr>
              <w:numPr>
                <w:ilvl w:val="0"/>
                <w:numId w:val="36"/>
              </w:numPr>
              <w:spacing w:after="60"/>
              <w:ind w:left="465"/>
              <w:contextualSpacing/>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Sostenibles o bajas en carbono: tiene bajas emisiones de GEI en sentido absoluto.</w:t>
            </w:r>
          </w:p>
          <w:p w14:paraId="464D8707" w14:textId="77777777" w:rsidR="00F12FAE" w:rsidRPr="0089303E" w:rsidRDefault="00F12FAE" w:rsidP="0089303E">
            <w:pPr>
              <w:spacing w:after="6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 xml:space="preserve">El </w:t>
            </w:r>
            <w:r w:rsidRPr="0089303E">
              <w:rPr>
                <w:rFonts w:ascii="Calibri" w:hAnsi="Calibri" w:cs="Calibri"/>
                <w:b/>
                <w:bCs/>
                <w:color w:val="auto"/>
                <w:sz w:val="16"/>
                <w:szCs w:val="16"/>
              </w:rPr>
              <w:t xml:space="preserve">Reglamento </w:t>
            </w:r>
            <w:proofErr w:type="gramStart"/>
            <w:r w:rsidRPr="0089303E">
              <w:rPr>
                <w:rFonts w:ascii="Calibri" w:hAnsi="Calibri" w:cs="Calibri"/>
                <w:b/>
                <w:bCs/>
                <w:color w:val="auto"/>
                <w:sz w:val="16"/>
                <w:szCs w:val="16"/>
              </w:rPr>
              <w:t>Delegado</w:t>
            </w:r>
            <w:proofErr w:type="gramEnd"/>
            <w:r w:rsidRPr="0089303E">
              <w:rPr>
                <w:rFonts w:ascii="Calibri" w:hAnsi="Calibri" w:cs="Calibri"/>
                <w:b/>
                <w:bCs/>
                <w:color w:val="auto"/>
                <w:sz w:val="16"/>
                <w:szCs w:val="16"/>
              </w:rPr>
              <w:t xml:space="preserve"> 2021/2139</w:t>
            </w:r>
            <w:r w:rsidRPr="0089303E">
              <w:rPr>
                <w:rFonts w:ascii="Calibri" w:hAnsi="Calibri" w:cs="Calibri"/>
                <w:color w:val="auto"/>
                <w:sz w:val="16"/>
                <w:szCs w:val="16"/>
              </w:rPr>
              <w:t xml:space="preserve"> define los criterios técnicos de selección aplicables </w:t>
            </w:r>
            <w:r w:rsidRPr="0089303E">
              <w:rPr>
                <w:rFonts w:ascii="Calibri" w:hAnsi="Calibri" w:cs="Calibri"/>
                <w:b/>
                <w:bCs/>
                <w:color w:val="auto"/>
                <w:sz w:val="16"/>
                <w:szCs w:val="16"/>
              </w:rPr>
              <w:t>hasta el 31 de diciembre de 2025</w:t>
            </w:r>
            <w:r w:rsidRPr="0089303E">
              <w:rPr>
                <w:rFonts w:ascii="Calibri" w:hAnsi="Calibri" w:cs="Calibri"/>
                <w:color w:val="auto"/>
                <w:sz w:val="16"/>
                <w:szCs w:val="16"/>
              </w:rPr>
              <w:t>.</w:t>
            </w:r>
          </w:p>
          <w:p w14:paraId="2741E46C" w14:textId="77777777" w:rsidR="00F12FAE" w:rsidRPr="0089303E" w:rsidRDefault="00F12FAE" w:rsidP="0089303E">
            <w:pPr>
              <w:spacing w:after="6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 xml:space="preserve">El Reglamento </w:t>
            </w:r>
            <w:proofErr w:type="gramStart"/>
            <w:r w:rsidRPr="0089303E">
              <w:rPr>
                <w:rFonts w:ascii="Calibri" w:hAnsi="Calibri" w:cs="Calibri"/>
                <w:b/>
                <w:bCs/>
                <w:color w:val="auto"/>
                <w:sz w:val="16"/>
                <w:szCs w:val="16"/>
              </w:rPr>
              <w:t>Delegado</w:t>
            </w:r>
            <w:proofErr w:type="gramEnd"/>
            <w:r w:rsidRPr="0089303E">
              <w:rPr>
                <w:rFonts w:ascii="Calibri" w:hAnsi="Calibri" w:cs="Calibri"/>
                <w:b/>
                <w:bCs/>
                <w:color w:val="auto"/>
                <w:sz w:val="16"/>
                <w:szCs w:val="16"/>
              </w:rPr>
              <w:t xml:space="preserve"> 2021/2178</w:t>
            </w:r>
            <w:r w:rsidRPr="0089303E">
              <w:rPr>
                <w:rFonts w:ascii="Calibri" w:hAnsi="Calibri" w:cs="Calibri"/>
                <w:color w:val="auto"/>
                <w:sz w:val="16"/>
                <w:szCs w:val="16"/>
              </w:rPr>
              <w:t xml:space="preserve"> determina que las empresas deben incluir en su estado no financiero:</w:t>
            </w:r>
          </w:p>
          <w:p w14:paraId="25E4C4A6" w14:textId="77777777" w:rsidR="00F12FAE" w:rsidRPr="0089303E" w:rsidRDefault="00F12FAE" w:rsidP="00002BC2">
            <w:pPr>
              <w:numPr>
                <w:ilvl w:val="0"/>
                <w:numId w:val="37"/>
              </w:numPr>
              <w:spacing w:after="60"/>
              <w:ind w:left="465"/>
              <w:contextualSpacing/>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La proporción de su facturación relacionada con actividades económicas medioambientalmente sostenibles.</w:t>
            </w:r>
          </w:p>
          <w:p w14:paraId="5458DDBC" w14:textId="77777777" w:rsidR="00F12FAE" w:rsidRPr="0089303E" w:rsidRDefault="00F12FAE" w:rsidP="00002BC2">
            <w:pPr>
              <w:numPr>
                <w:ilvl w:val="0"/>
                <w:numId w:val="37"/>
              </w:numPr>
              <w:spacing w:after="60"/>
              <w:ind w:left="465"/>
              <w:contextualSpacing/>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La proporción de su activo fijo y de sus gastos de explotación asociados a actividades económicas medioambientalmente sostenibles.</w:t>
            </w:r>
          </w:p>
        </w:tc>
        <w:tc>
          <w:tcPr>
            <w:tcW w:w="740" w:type="pct"/>
            <w:shd w:val="clear" w:color="auto" w:fill="F6F9FC"/>
            <w:vAlign w:val="center"/>
          </w:tcPr>
          <w:p w14:paraId="703F4F6F" w14:textId="77777777" w:rsidR="00F12FAE" w:rsidRPr="0089303E" w:rsidRDefault="00F12FAE" w:rsidP="0089303E">
            <w:pPr>
              <w:spacing w:after="6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 xml:space="preserve">Criterios técnicos aplicables al transporte ferroviario según el </w:t>
            </w:r>
            <w:r w:rsidRPr="0089303E">
              <w:rPr>
                <w:rFonts w:ascii="Calibri" w:hAnsi="Calibri" w:cs="Calibri"/>
                <w:b/>
                <w:bCs/>
                <w:color w:val="auto"/>
                <w:sz w:val="16"/>
                <w:szCs w:val="16"/>
              </w:rPr>
              <w:t xml:space="preserve">Reglamento </w:t>
            </w:r>
            <w:proofErr w:type="gramStart"/>
            <w:r w:rsidRPr="0089303E">
              <w:rPr>
                <w:rFonts w:ascii="Calibri" w:hAnsi="Calibri" w:cs="Calibri"/>
                <w:b/>
                <w:bCs/>
                <w:color w:val="auto"/>
                <w:sz w:val="16"/>
                <w:szCs w:val="16"/>
              </w:rPr>
              <w:t>Delegado</w:t>
            </w:r>
            <w:proofErr w:type="gramEnd"/>
            <w:r w:rsidRPr="0089303E">
              <w:rPr>
                <w:rFonts w:ascii="Calibri" w:hAnsi="Calibri" w:cs="Calibri"/>
                <w:b/>
                <w:bCs/>
                <w:color w:val="auto"/>
                <w:sz w:val="16"/>
                <w:szCs w:val="16"/>
              </w:rPr>
              <w:t xml:space="preserve"> 2021/2139</w:t>
            </w:r>
            <w:r w:rsidRPr="0089303E">
              <w:rPr>
                <w:rFonts w:ascii="Calibri" w:hAnsi="Calibri" w:cs="Calibri"/>
                <w:color w:val="auto"/>
                <w:sz w:val="16"/>
                <w:szCs w:val="16"/>
              </w:rPr>
              <w:t xml:space="preserve">, </w:t>
            </w:r>
            <w:r w:rsidRPr="0089303E">
              <w:rPr>
                <w:rFonts w:ascii="Calibri" w:hAnsi="Calibri" w:cs="Calibri"/>
                <w:b/>
                <w:bCs/>
                <w:color w:val="auto"/>
                <w:sz w:val="16"/>
                <w:szCs w:val="16"/>
              </w:rPr>
              <w:t>aplicables</w:t>
            </w:r>
            <w:r w:rsidRPr="0089303E">
              <w:rPr>
                <w:rFonts w:ascii="Calibri" w:hAnsi="Calibri" w:cs="Calibri"/>
                <w:color w:val="auto"/>
                <w:sz w:val="16"/>
                <w:szCs w:val="16"/>
              </w:rPr>
              <w:t xml:space="preserve"> </w:t>
            </w:r>
            <w:r w:rsidRPr="0089303E">
              <w:rPr>
                <w:rFonts w:ascii="Calibri" w:hAnsi="Calibri" w:cs="Calibri"/>
                <w:b/>
                <w:bCs/>
                <w:color w:val="auto"/>
                <w:sz w:val="16"/>
                <w:szCs w:val="16"/>
              </w:rPr>
              <w:t>hasta el 31 de diciembre de 2025</w:t>
            </w:r>
            <w:r w:rsidRPr="0089303E">
              <w:rPr>
                <w:rFonts w:ascii="Calibri" w:hAnsi="Calibri" w:cs="Calibri"/>
                <w:color w:val="auto"/>
                <w:sz w:val="16"/>
                <w:szCs w:val="16"/>
              </w:rPr>
              <w:t>:</w:t>
            </w:r>
          </w:p>
          <w:p w14:paraId="47D742DF" w14:textId="77777777" w:rsidR="00F12FAE" w:rsidRPr="0089303E" w:rsidRDefault="00F12FAE" w:rsidP="0089303E">
            <w:pPr>
              <w:spacing w:after="6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Transporte interurbano de pasajeros por ferrocarril:</w:t>
            </w:r>
          </w:p>
          <w:p w14:paraId="282D2E12" w14:textId="77777777" w:rsidR="00F12FAE" w:rsidRPr="0089303E" w:rsidRDefault="00F12FAE" w:rsidP="00002BC2">
            <w:pPr>
              <w:numPr>
                <w:ilvl w:val="0"/>
                <w:numId w:val="47"/>
              </w:numPr>
              <w:spacing w:after="60"/>
              <w:ind w:left="461"/>
              <w:contextualSpacing/>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 xml:space="preserve">Incluye la adquisición, financiación, alquiler, </w:t>
            </w:r>
            <w:r w:rsidRPr="0089303E">
              <w:rPr>
                <w:rFonts w:ascii="Calibri" w:hAnsi="Calibri" w:cs="Calibri"/>
                <w:i/>
                <w:iCs/>
                <w:color w:val="auto"/>
                <w:sz w:val="16"/>
                <w:szCs w:val="16"/>
              </w:rPr>
              <w:t>leasing</w:t>
            </w:r>
            <w:r w:rsidRPr="0089303E">
              <w:rPr>
                <w:rFonts w:ascii="Calibri" w:hAnsi="Calibri" w:cs="Calibri"/>
                <w:color w:val="auto"/>
                <w:sz w:val="16"/>
                <w:szCs w:val="16"/>
              </w:rPr>
              <w:t xml:space="preserve"> y explotación de transporte de pasajeros larga distancia, interurbano y explotación de coches-cama o coches-restaurante.</w:t>
            </w:r>
          </w:p>
          <w:p w14:paraId="684D1FD6" w14:textId="77777777" w:rsidR="00F12FAE" w:rsidRPr="0089303E" w:rsidRDefault="00F12FAE" w:rsidP="00002BC2">
            <w:pPr>
              <w:numPr>
                <w:ilvl w:val="0"/>
                <w:numId w:val="47"/>
              </w:numPr>
              <w:spacing w:after="60"/>
              <w:ind w:left="461"/>
              <w:contextualSpacing/>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Criterios:</w:t>
            </w:r>
          </w:p>
          <w:p w14:paraId="71CB3087" w14:textId="77777777" w:rsidR="00F12FAE" w:rsidRPr="0089303E" w:rsidRDefault="00F12FAE" w:rsidP="00002BC2">
            <w:pPr>
              <w:numPr>
                <w:ilvl w:val="1"/>
                <w:numId w:val="47"/>
              </w:numPr>
              <w:spacing w:after="60"/>
              <w:ind w:left="1028"/>
              <w:contextualSpacing/>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Trenes y coches de viajeros que tienen cero emisiones directas de CO</w:t>
            </w:r>
            <w:r w:rsidRPr="0089303E">
              <w:rPr>
                <w:rFonts w:ascii="Calibri" w:hAnsi="Calibri" w:cs="Calibri"/>
                <w:color w:val="auto"/>
                <w:sz w:val="16"/>
                <w:szCs w:val="16"/>
                <w:vertAlign w:val="subscript"/>
              </w:rPr>
              <w:t>2</w:t>
            </w:r>
            <w:r w:rsidRPr="0089303E">
              <w:rPr>
                <w:rFonts w:ascii="Calibri" w:hAnsi="Calibri" w:cs="Calibri"/>
                <w:color w:val="auto"/>
                <w:sz w:val="16"/>
                <w:szCs w:val="16"/>
              </w:rPr>
              <w:t>.</w:t>
            </w:r>
          </w:p>
          <w:p w14:paraId="1B119871" w14:textId="77777777" w:rsidR="00F12FAE" w:rsidRPr="0089303E" w:rsidRDefault="00F12FAE" w:rsidP="00002BC2">
            <w:pPr>
              <w:numPr>
                <w:ilvl w:val="1"/>
                <w:numId w:val="47"/>
              </w:numPr>
              <w:spacing w:after="60"/>
              <w:ind w:left="1028"/>
              <w:contextualSpacing/>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 xml:space="preserve">Trenes y coches de viajeros </w:t>
            </w:r>
            <w:proofErr w:type="spellStart"/>
            <w:r w:rsidRPr="0089303E">
              <w:rPr>
                <w:rFonts w:ascii="Calibri" w:hAnsi="Calibri" w:cs="Calibri"/>
                <w:color w:val="auto"/>
                <w:sz w:val="16"/>
                <w:szCs w:val="16"/>
              </w:rPr>
              <w:t>bimodo</w:t>
            </w:r>
            <w:proofErr w:type="spellEnd"/>
            <w:r w:rsidRPr="0089303E">
              <w:rPr>
                <w:rFonts w:ascii="Calibri" w:hAnsi="Calibri" w:cs="Calibri"/>
                <w:color w:val="auto"/>
                <w:sz w:val="16"/>
                <w:szCs w:val="16"/>
              </w:rPr>
              <w:t xml:space="preserve">. </w:t>
            </w:r>
          </w:p>
          <w:p w14:paraId="0D11E206" w14:textId="77777777" w:rsidR="00F12FAE" w:rsidRPr="0089303E" w:rsidRDefault="00F12FAE" w:rsidP="0089303E">
            <w:pPr>
              <w:spacing w:after="6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Transporte de mercancías por ferrocarril:</w:t>
            </w:r>
          </w:p>
          <w:p w14:paraId="0218B1C9" w14:textId="77777777" w:rsidR="00F12FAE" w:rsidRPr="0089303E" w:rsidRDefault="00F12FAE" w:rsidP="00002BC2">
            <w:pPr>
              <w:numPr>
                <w:ilvl w:val="0"/>
                <w:numId w:val="48"/>
              </w:numPr>
              <w:spacing w:after="60"/>
              <w:ind w:left="461"/>
              <w:contextualSpacing/>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 xml:space="preserve">Incluye adquisición, financiación, </w:t>
            </w:r>
            <w:r w:rsidRPr="0089303E">
              <w:rPr>
                <w:rFonts w:ascii="Calibri" w:hAnsi="Calibri" w:cs="Calibri"/>
                <w:i/>
                <w:iCs/>
                <w:color w:val="auto"/>
                <w:sz w:val="16"/>
                <w:szCs w:val="16"/>
              </w:rPr>
              <w:t>leasing</w:t>
            </w:r>
            <w:r w:rsidRPr="0089303E">
              <w:rPr>
                <w:rFonts w:ascii="Calibri" w:hAnsi="Calibri" w:cs="Calibri"/>
                <w:color w:val="auto"/>
                <w:sz w:val="16"/>
                <w:szCs w:val="16"/>
              </w:rPr>
              <w:t>, alquiler y explotación de transporte de mercancías de larga y corta distancia.</w:t>
            </w:r>
          </w:p>
          <w:p w14:paraId="5C48DA0D" w14:textId="77777777" w:rsidR="00F12FAE" w:rsidRDefault="00F12FAE" w:rsidP="00002BC2">
            <w:pPr>
              <w:numPr>
                <w:ilvl w:val="0"/>
                <w:numId w:val="48"/>
              </w:numPr>
              <w:spacing w:after="60"/>
              <w:ind w:left="461"/>
              <w:contextualSpacing/>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 xml:space="preserve">Mismas actividades que en el transporte de pasajeros por ferrocarril. </w:t>
            </w:r>
          </w:p>
          <w:p w14:paraId="35B1459A" w14:textId="77777777" w:rsidR="00F12FAE" w:rsidRDefault="00F12FAE" w:rsidP="0001004B">
            <w:pPr>
              <w:spacing w:after="60"/>
              <w:contextualSpacing/>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p>
          <w:p w14:paraId="086928F1" w14:textId="267253FD" w:rsidR="00F12FAE" w:rsidRPr="0001004B" w:rsidRDefault="00F12FAE" w:rsidP="00002BC2">
            <w:pPr>
              <w:pStyle w:val="Prrafodelista"/>
              <w:numPr>
                <w:ilvl w:val="0"/>
                <w:numId w:val="48"/>
              </w:numPr>
              <w:spacing w:after="60"/>
              <w:ind w:left="459"/>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01004B">
              <w:rPr>
                <w:rFonts w:ascii="Calibri" w:hAnsi="Calibri" w:cs="Calibri"/>
                <w:b/>
                <w:bCs/>
                <w:color w:val="C45911" w:themeColor="accent2" w:themeShade="BF"/>
                <w:sz w:val="16"/>
                <w:szCs w:val="16"/>
              </w:rPr>
              <w:t xml:space="preserve">Reglamento </w:t>
            </w:r>
            <w:proofErr w:type="gramStart"/>
            <w:r w:rsidRPr="0001004B">
              <w:rPr>
                <w:rFonts w:ascii="Calibri" w:hAnsi="Calibri" w:cs="Calibri"/>
                <w:b/>
                <w:bCs/>
                <w:color w:val="C45911" w:themeColor="accent2" w:themeShade="BF"/>
                <w:sz w:val="16"/>
                <w:szCs w:val="16"/>
              </w:rPr>
              <w:t>Delegado</w:t>
            </w:r>
            <w:proofErr w:type="gramEnd"/>
            <w:r w:rsidRPr="0001004B">
              <w:rPr>
                <w:rFonts w:ascii="Calibri" w:hAnsi="Calibri" w:cs="Calibri"/>
                <w:b/>
                <w:bCs/>
                <w:color w:val="C45911" w:themeColor="accent2" w:themeShade="BF"/>
                <w:sz w:val="16"/>
                <w:szCs w:val="16"/>
              </w:rPr>
              <w:t xml:space="preserve"> (UE) 2023/2485</w:t>
            </w:r>
            <w:r>
              <w:rPr>
                <w:rFonts w:ascii="Calibri" w:hAnsi="Calibri" w:cs="Calibri"/>
                <w:color w:val="auto"/>
                <w:sz w:val="16"/>
                <w:szCs w:val="16"/>
              </w:rPr>
              <w:t xml:space="preserve">: </w:t>
            </w:r>
            <w:r w:rsidRPr="0001004B">
              <w:rPr>
                <w:rFonts w:ascii="Calibri" w:hAnsi="Calibri" w:cs="Calibri"/>
                <w:color w:val="auto"/>
                <w:sz w:val="16"/>
                <w:szCs w:val="16"/>
              </w:rPr>
              <w:t>introduc</w:t>
            </w:r>
            <w:r>
              <w:rPr>
                <w:rFonts w:ascii="Calibri" w:hAnsi="Calibri" w:cs="Calibri"/>
                <w:color w:val="auto"/>
                <w:sz w:val="16"/>
                <w:szCs w:val="16"/>
              </w:rPr>
              <w:t>e</w:t>
            </w:r>
            <w:r w:rsidRPr="0001004B">
              <w:rPr>
                <w:rFonts w:ascii="Calibri" w:hAnsi="Calibri" w:cs="Calibri"/>
                <w:color w:val="auto"/>
                <w:sz w:val="16"/>
                <w:szCs w:val="16"/>
              </w:rPr>
              <w:t xml:space="preserve"> criterios técnicos adicionales y ajusta los existentes para determinar cuándo una actividad económica contribuye de manera </w:t>
            </w:r>
            <w:r w:rsidRPr="0001004B">
              <w:rPr>
                <w:rFonts w:ascii="Calibri" w:hAnsi="Calibri" w:cs="Calibri"/>
                <w:color w:val="auto"/>
                <w:sz w:val="16"/>
                <w:szCs w:val="16"/>
              </w:rPr>
              <w:lastRenderedPageBreak/>
              <w:t>sustancial a la mitigación del cambio climático</w:t>
            </w:r>
            <w:r>
              <w:rPr>
                <w:rFonts w:ascii="Calibri" w:hAnsi="Calibri" w:cs="Calibri"/>
                <w:color w:val="auto"/>
                <w:sz w:val="16"/>
                <w:szCs w:val="16"/>
              </w:rPr>
              <w:t>.</w:t>
            </w:r>
          </w:p>
        </w:tc>
        <w:tc>
          <w:tcPr>
            <w:tcW w:w="870" w:type="pct"/>
            <w:shd w:val="clear" w:color="auto" w:fill="F6F9FC"/>
            <w:vAlign w:val="center"/>
          </w:tcPr>
          <w:p w14:paraId="45544C84" w14:textId="77777777" w:rsidR="00F12FAE" w:rsidRPr="0089303E" w:rsidRDefault="00F12FAE" w:rsidP="0089303E">
            <w:pPr>
              <w:spacing w:after="6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p>
        </w:tc>
        <w:tc>
          <w:tcPr>
            <w:tcW w:w="826" w:type="pct"/>
            <w:shd w:val="clear" w:color="auto" w:fill="F6F9FC"/>
            <w:vAlign w:val="center"/>
          </w:tcPr>
          <w:p w14:paraId="4E083FCE" w14:textId="77777777" w:rsidR="00F12FAE" w:rsidRPr="0089303E" w:rsidRDefault="00F12FAE" w:rsidP="0089303E">
            <w:pPr>
              <w:spacing w:after="60"/>
              <w:jc w:val="left"/>
              <w:cnfStyle w:val="000000000000" w:firstRow="0" w:lastRow="0" w:firstColumn="0" w:lastColumn="0" w:oddVBand="0" w:evenVBand="0" w:oddHBand="0" w:evenHBand="0" w:firstRowFirstColumn="0" w:firstRowLastColumn="0" w:lastRowFirstColumn="0" w:lastRowLastColumn="0"/>
              <w:rPr>
                <w:rFonts w:ascii="Calibri" w:hAnsi="Calibri" w:cs="Calibri"/>
                <w:b/>
                <w:bCs/>
                <w:color w:val="auto"/>
                <w:sz w:val="16"/>
                <w:szCs w:val="16"/>
              </w:rPr>
            </w:pPr>
            <w:r w:rsidRPr="0089303E">
              <w:rPr>
                <w:rFonts w:ascii="Calibri" w:hAnsi="Calibri" w:cs="Calibri"/>
                <w:color w:val="auto"/>
                <w:sz w:val="16"/>
                <w:szCs w:val="16"/>
              </w:rPr>
              <w:t xml:space="preserve">Criterios técnicos aplicables al transporte por carretera según el </w:t>
            </w:r>
            <w:r w:rsidRPr="0089303E">
              <w:rPr>
                <w:rFonts w:ascii="Calibri" w:hAnsi="Calibri" w:cs="Calibri"/>
                <w:b/>
                <w:bCs/>
                <w:color w:val="auto"/>
                <w:sz w:val="16"/>
                <w:szCs w:val="16"/>
              </w:rPr>
              <w:t xml:space="preserve">Reglamento </w:t>
            </w:r>
            <w:proofErr w:type="gramStart"/>
            <w:r w:rsidRPr="0089303E">
              <w:rPr>
                <w:rFonts w:ascii="Calibri" w:hAnsi="Calibri" w:cs="Calibri"/>
                <w:b/>
                <w:bCs/>
                <w:color w:val="auto"/>
                <w:sz w:val="16"/>
                <w:szCs w:val="16"/>
              </w:rPr>
              <w:t>Delegado</w:t>
            </w:r>
            <w:proofErr w:type="gramEnd"/>
            <w:r w:rsidRPr="0089303E">
              <w:rPr>
                <w:rFonts w:ascii="Calibri" w:hAnsi="Calibri" w:cs="Calibri"/>
                <w:b/>
                <w:bCs/>
                <w:color w:val="auto"/>
                <w:sz w:val="16"/>
                <w:szCs w:val="16"/>
              </w:rPr>
              <w:t xml:space="preserve"> 2021/2139, aplicables hasta el 31 de diciembre de 2025:</w:t>
            </w:r>
          </w:p>
          <w:p w14:paraId="2D84A6EA" w14:textId="77777777" w:rsidR="00F12FAE" w:rsidRPr="0089303E" w:rsidRDefault="00F12FAE" w:rsidP="0089303E">
            <w:pPr>
              <w:spacing w:after="6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Transporte urbano y suburbano, transporte de viajeros por carretera:</w:t>
            </w:r>
          </w:p>
          <w:p w14:paraId="55043A1F" w14:textId="77777777" w:rsidR="00F12FAE" w:rsidRPr="0089303E" w:rsidRDefault="00F12FAE" w:rsidP="00002BC2">
            <w:pPr>
              <w:numPr>
                <w:ilvl w:val="0"/>
                <w:numId w:val="54"/>
              </w:numPr>
              <w:spacing w:after="60"/>
              <w:ind w:left="470"/>
              <w:contextualSpacing/>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 xml:space="preserve">Incluye la adquisición, financiación, </w:t>
            </w:r>
            <w:r w:rsidRPr="0089303E">
              <w:rPr>
                <w:rFonts w:ascii="Calibri" w:hAnsi="Calibri" w:cs="Calibri"/>
                <w:i/>
                <w:iCs/>
                <w:color w:val="auto"/>
                <w:sz w:val="16"/>
                <w:szCs w:val="16"/>
              </w:rPr>
              <w:t>leasing</w:t>
            </w:r>
            <w:r w:rsidRPr="0089303E">
              <w:rPr>
                <w:rFonts w:ascii="Calibri" w:hAnsi="Calibri" w:cs="Calibri"/>
                <w:color w:val="auto"/>
                <w:sz w:val="16"/>
                <w:szCs w:val="16"/>
              </w:rPr>
              <w:t>, alquiler y explotación de vehículos de transporte urbano y suburbano de pasajeros y de transporte de viajeros por carretera.</w:t>
            </w:r>
          </w:p>
          <w:p w14:paraId="1E368C4F" w14:textId="77777777" w:rsidR="00F12FAE" w:rsidRPr="0089303E" w:rsidRDefault="00F12FAE" w:rsidP="00002BC2">
            <w:pPr>
              <w:numPr>
                <w:ilvl w:val="0"/>
                <w:numId w:val="54"/>
              </w:numPr>
              <w:spacing w:after="60"/>
              <w:ind w:left="470"/>
              <w:contextualSpacing/>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Criterios:</w:t>
            </w:r>
          </w:p>
          <w:p w14:paraId="2DB16C65" w14:textId="77777777" w:rsidR="00F12FAE" w:rsidRPr="0089303E" w:rsidRDefault="00F12FAE" w:rsidP="00002BC2">
            <w:pPr>
              <w:numPr>
                <w:ilvl w:val="1"/>
                <w:numId w:val="54"/>
              </w:numPr>
              <w:spacing w:after="60"/>
              <w:ind w:left="1037"/>
              <w:contextualSpacing/>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Actividades de transporte urbano o suburbano de pasajeros con cero emisiones directas de CO</w:t>
            </w:r>
            <w:r w:rsidRPr="0089303E">
              <w:rPr>
                <w:rFonts w:ascii="Calibri" w:hAnsi="Calibri" w:cs="Calibri"/>
                <w:color w:val="auto"/>
                <w:sz w:val="16"/>
                <w:szCs w:val="16"/>
                <w:vertAlign w:val="subscript"/>
              </w:rPr>
              <w:t>2</w:t>
            </w:r>
            <w:r w:rsidRPr="0089303E">
              <w:rPr>
                <w:rFonts w:ascii="Calibri" w:hAnsi="Calibri" w:cs="Calibri"/>
                <w:color w:val="auto"/>
                <w:sz w:val="16"/>
                <w:szCs w:val="16"/>
              </w:rPr>
              <w:t>.</w:t>
            </w:r>
          </w:p>
          <w:p w14:paraId="0A98334A" w14:textId="77777777" w:rsidR="00F12FAE" w:rsidRPr="0089303E" w:rsidRDefault="00F12FAE" w:rsidP="00002BC2">
            <w:pPr>
              <w:numPr>
                <w:ilvl w:val="1"/>
                <w:numId w:val="54"/>
              </w:numPr>
              <w:spacing w:after="60"/>
              <w:ind w:left="1037"/>
              <w:contextualSpacing/>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89303E">
              <w:rPr>
                <w:rFonts w:ascii="Calibri" w:hAnsi="Calibri" w:cs="Calibri"/>
                <w:b/>
                <w:bCs/>
                <w:color w:val="auto"/>
                <w:sz w:val="16"/>
                <w:szCs w:val="16"/>
              </w:rPr>
              <w:t>Hasta el 31 de diciembre de 2025</w:t>
            </w:r>
            <w:r w:rsidRPr="0089303E">
              <w:rPr>
                <w:rFonts w:ascii="Calibri" w:hAnsi="Calibri" w:cs="Calibri"/>
                <w:color w:val="auto"/>
                <w:sz w:val="16"/>
                <w:szCs w:val="16"/>
              </w:rPr>
              <w:t xml:space="preserve">, actividades que proporcionan transporte interurbano de pasajeros por carretera utilizando vehículos clasificados en las categorías M2 y M3 con un tipo de carrocería clasificado como «CA», «CB», «CC» o «CD», y cumplan con la Euro VI más reciente. </w:t>
            </w:r>
          </w:p>
          <w:p w14:paraId="0BF45422" w14:textId="77777777" w:rsidR="00F12FAE" w:rsidRPr="0089303E" w:rsidRDefault="00F12FAE" w:rsidP="0089303E">
            <w:pPr>
              <w:spacing w:after="6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Transporte por motocicletas, turismos y vehículos comerciales ligeros:</w:t>
            </w:r>
          </w:p>
          <w:p w14:paraId="374C634F" w14:textId="77777777" w:rsidR="00F12FAE" w:rsidRPr="0089303E" w:rsidRDefault="00F12FAE" w:rsidP="00002BC2">
            <w:pPr>
              <w:numPr>
                <w:ilvl w:val="0"/>
                <w:numId w:val="54"/>
              </w:numPr>
              <w:spacing w:after="60"/>
              <w:ind w:left="470"/>
              <w:contextualSpacing/>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 xml:space="preserve">Incluye la adquisición, financiación, alquiler, leasing y explotación de vehículos clasificados en las categorías M1 y N1, que entran en el </w:t>
            </w:r>
            <w:r w:rsidRPr="0089303E">
              <w:rPr>
                <w:rFonts w:ascii="Calibri" w:hAnsi="Calibri" w:cs="Calibri"/>
                <w:color w:val="auto"/>
                <w:sz w:val="16"/>
                <w:szCs w:val="16"/>
              </w:rPr>
              <w:lastRenderedPageBreak/>
              <w:t>ámbito de aplicación del Reglamento (CE) 715/2007, o en la categoría L.</w:t>
            </w:r>
          </w:p>
          <w:p w14:paraId="088AA811" w14:textId="77777777" w:rsidR="00F12FAE" w:rsidRPr="0089303E" w:rsidRDefault="00F12FAE" w:rsidP="00002BC2">
            <w:pPr>
              <w:numPr>
                <w:ilvl w:val="0"/>
                <w:numId w:val="54"/>
              </w:numPr>
              <w:spacing w:after="60"/>
              <w:ind w:left="470"/>
              <w:contextualSpacing/>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Criterios:</w:t>
            </w:r>
          </w:p>
          <w:p w14:paraId="4A5E49E6" w14:textId="77777777" w:rsidR="00F12FAE" w:rsidRPr="0089303E" w:rsidRDefault="00F12FAE" w:rsidP="00002BC2">
            <w:pPr>
              <w:numPr>
                <w:ilvl w:val="1"/>
                <w:numId w:val="54"/>
              </w:numPr>
              <w:spacing w:after="60"/>
              <w:ind w:left="1037"/>
              <w:contextualSpacing/>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 xml:space="preserve">En caso de vehículos categoría M1 y N1, </w:t>
            </w:r>
            <w:r w:rsidRPr="0089303E">
              <w:rPr>
                <w:rFonts w:ascii="Calibri" w:hAnsi="Calibri" w:cs="Calibri"/>
                <w:b/>
                <w:bCs/>
                <w:color w:val="auto"/>
                <w:sz w:val="16"/>
                <w:szCs w:val="16"/>
              </w:rPr>
              <w:t>hasta el 31 de diciembre de 2025</w:t>
            </w:r>
            <w:r w:rsidRPr="0089303E">
              <w:rPr>
                <w:rFonts w:ascii="Calibri" w:hAnsi="Calibri" w:cs="Calibri"/>
                <w:color w:val="auto"/>
                <w:sz w:val="16"/>
                <w:szCs w:val="16"/>
              </w:rPr>
              <w:t xml:space="preserve">, los vehículos ligeros de emisiones cero y bajas emisiones; </w:t>
            </w:r>
            <w:r w:rsidRPr="0089303E">
              <w:rPr>
                <w:rFonts w:ascii="Calibri" w:hAnsi="Calibri" w:cs="Calibri"/>
                <w:b/>
                <w:bCs/>
                <w:color w:val="auto"/>
                <w:sz w:val="16"/>
                <w:szCs w:val="16"/>
              </w:rPr>
              <w:t>a partir del 1 de enero de 2026</w:t>
            </w:r>
            <w:r w:rsidRPr="0089303E">
              <w:rPr>
                <w:rFonts w:ascii="Calibri" w:hAnsi="Calibri" w:cs="Calibri"/>
                <w:color w:val="auto"/>
                <w:sz w:val="16"/>
                <w:szCs w:val="16"/>
              </w:rPr>
              <w:t>, los vehículos de cero emisiones.</w:t>
            </w:r>
          </w:p>
          <w:p w14:paraId="1E45DF76" w14:textId="77777777" w:rsidR="00F12FAE" w:rsidRPr="0089303E" w:rsidRDefault="00F12FAE" w:rsidP="00002BC2">
            <w:pPr>
              <w:numPr>
                <w:ilvl w:val="1"/>
                <w:numId w:val="54"/>
              </w:numPr>
              <w:spacing w:after="60"/>
              <w:ind w:left="1037"/>
              <w:contextualSpacing/>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Los vehículos categoría L con emisiones cero.</w:t>
            </w:r>
          </w:p>
          <w:p w14:paraId="799A82B6" w14:textId="77777777" w:rsidR="00F12FAE" w:rsidRPr="0089303E" w:rsidRDefault="00F12FAE" w:rsidP="0089303E">
            <w:pPr>
              <w:spacing w:after="6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Servicios de transporte de mercancías por carretera:</w:t>
            </w:r>
          </w:p>
          <w:p w14:paraId="37957FF2" w14:textId="77777777" w:rsidR="00F12FAE" w:rsidRPr="0089303E" w:rsidRDefault="00F12FAE" w:rsidP="00002BC2">
            <w:pPr>
              <w:numPr>
                <w:ilvl w:val="0"/>
                <w:numId w:val="54"/>
              </w:numPr>
              <w:spacing w:after="60"/>
              <w:ind w:left="470"/>
              <w:contextualSpacing/>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 xml:space="preserve">Incluye la adquisición, financiación, </w:t>
            </w:r>
            <w:r w:rsidRPr="0089303E">
              <w:rPr>
                <w:rFonts w:ascii="Calibri" w:hAnsi="Calibri" w:cs="Calibri"/>
                <w:i/>
                <w:iCs/>
                <w:color w:val="auto"/>
                <w:sz w:val="16"/>
                <w:szCs w:val="16"/>
              </w:rPr>
              <w:t>leasing</w:t>
            </w:r>
            <w:r w:rsidRPr="0089303E">
              <w:rPr>
                <w:rFonts w:ascii="Calibri" w:hAnsi="Calibri" w:cs="Calibri"/>
                <w:color w:val="auto"/>
                <w:sz w:val="16"/>
                <w:szCs w:val="16"/>
              </w:rPr>
              <w:t>, alquiler y explotación de vehículos de las categorías N1, N2 o N3 incluidos en el ámbito de aplicación de la norma EURO VI, etapa E, o su sucesora, para los servicios de transporte de mercancías por carretera.</w:t>
            </w:r>
          </w:p>
          <w:p w14:paraId="7D5A3C41" w14:textId="77777777" w:rsidR="00F12FAE" w:rsidRPr="0089303E" w:rsidRDefault="00F12FAE" w:rsidP="00002BC2">
            <w:pPr>
              <w:numPr>
                <w:ilvl w:val="0"/>
                <w:numId w:val="54"/>
              </w:numPr>
              <w:spacing w:after="60"/>
              <w:ind w:left="470"/>
              <w:contextualSpacing/>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Criterios:</w:t>
            </w:r>
          </w:p>
          <w:p w14:paraId="09C6858C" w14:textId="77777777" w:rsidR="00F12FAE" w:rsidRPr="0089303E" w:rsidRDefault="00F12FAE" w:rsidP="00002BC2">
            <w:pPr>
              <w:numPr>
                <w:ilvl w:val="1"/>
                <w:numId w:val="54"/>
              </w:numPr>
              <w:spacing w:after="60"/>
              <w:ind w:left="1037"/>
              <w:contextualSpacing/>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Los vehículos de categoría N1 tienen cero emisiones directas de CO</w:t>
            </w:r>
            <w:r w:rsidRPr="0089303E">
              <w:rPr>
                <w:rFonts w:ascii="Calibri" w:hAnsi="Calibri" w:cs="Calibri"/>
                <w:color w:val="auto"/>
                <w:sz w:val="16"/>
                <w:szCs w:val="16"/>
                <w:vertAlign w:val="subscript"/>
              </w:rPr>
              <w:t>2</w:t>
            </w:r>
            <w:r w:rsidRPr="0089303E">
              <w:rPr>
                <w:rFonts w:ascii="Calibri" w:hAnsi="Calibri" w:cs="Calibri"/>
                <w:color w:val="auto"/>
                <w:sz w:val="16"/>
                <w:szCs w:val="16"/>
              </w:rPr>
              <w:t>.</w:t>
            </w:r>
          </w:p>
          <w:p w14:paraId="1FFE101F" w14:textId="77777777" w:rsidR="00F12FAE" w:rsidRPr="0089303E" w:rsidRDefault="00F12FAE" w:rsidP="00002BC2">
            <w:pPr>
              <w:numPr>
                <w:ilvl w:val="1"/>
                <w:numId w:val="54"/>
              </w:numPr>
              <w:spacing w:after="60"/>
              <w:ind w:left="1037"/>
              <w:contextualSpacing/>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Los vehículos de las categorías N2 y N3 con una masa máxima en carga técnicamente admisible no superior a 7,5 toneladas son «vehículos pesados de emisión cero».</w:t>
            </w:r>
          </w:p>
          <w:p w14:paraId="70BD3AF1" w14:textId="77777777" w:rsidR="00F12FAE" w:rsidRPr="0089303E" w:rsidRDefault="00F12FAE" w:rsidP="00002BC2">
            <w:pPr>
              <w:numPr>
                <w:ilvl w:val="1"/>
                <w:numId w:val="54"/>
              </w:numPr>
              <w:spacing w:after="60"/>
              <w:ind w:left="1037"/>
              <w:contextualSpacing/>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 xml:space="preserve">Los vehículos de las categorías N2 y N3 con una masa </w:t>
            </w:r>
            <w:r w:rsidRPr="0089303E">
              <w:rPr>
                <w:rFonts w:ascii="Calibri" w:hAnsi="Calibri" w:cs="Calibri"/>
                <w:color w:val="auto"/>
                <w:sz w:val="16"/>
                <w:szCs w:val="16"/>
              </w:rPr>
              <w:lastRenderedPageBreak/>
              <w:t>máxima en carga técnicamente admisible superior a 7,5 toneladas son «vehículos pesados de emisión cero» o no es viable desde los puntos de vista tecnológico y económico cumplir con ese criterio.</w:t>
            </w:r>
          </w:p>
        </w:tc>
        <w:tc>
          <w:tcPr>
            <w:tcW w:w="869" w:type="pct"/>
            <w:shd w:val="clear" w:color="auto" w:fill="F6F9FC"/>
            <w:vAlign w:val="center"/>
          </w:tcPr>
          <w:p w14:paraId="268B2CE8" w14:textId="77777777" w:rsidR="00F12FAE" w:rsidRPr="0089303E" w:rsidRDefault="00F12FAE" w:rsidP="0089303E">
            <w:pPr>
              <w:spacing w:after="60"/>
              <w:jc w:val="left"/>
              <w:cnfStyle w:val="000000000000" w:firstRow="0" w:lastRow="0" w:firstColumn="0" w:lastColumn="0" w:oddVBand="0" w:evenVBand="0" w:oddHBand="0" w:evenHBand="0" w:firstRowFirstColumn="0" w:firstRowLastColumn="0" w:lastRowFirstColumn="0" w:lastRowLastColumn="0"/>
              <w:rPr>
                <w:rFonts w:ascii="Calibri" w:hAnsi="Calibri" w:cs="Calibri"/>
                <w:b/>
                <w:bCs/>
                <w:color w:val="auto"/>
                <w:sz w:val="16"/>
                <w:szCs w:val="16"/>
              </w:rPr>
            </w:pPr>
            <w:r w:rsidRPr="0089303E">
              <w:rPr>
                <w:rFonts w:ascii="Calibri" w:hAnsi="Calibri" w:cs="Calibri"/>
                <w:color w:val="auto"/>
                <w:sz w:val="16"/>
                <w:szCs w:val="16"/>
              </w:rPr>
              <w:lastRenderedPageBreak/>
              <w:t xml:space="preserve">Criterios técnicos aplicables al transporte marítimo según el </w:t>
            </w:r>
            <w:r w:rsidRPr="0089303E">
              <w:rPr>
                <w:rFonts w:ascii="Calibri" w:hAnsi="Calibri" w:cs="Calibri"/>
                <w:b/>
                <w:bCs/>
                <w:color w:val="auto"/>
                <w:sz w:val="16"/>
                <w:szCs w:val="16"/>
              </w:rPr>
              <w:t xml:space="preserve">Reglamento </w:t>
            </w:r>
            <w:proofErr w:type="gramStart"/>
            <w:r w:rsidRPr="0089303E">
              <w:rPr>
                <w:rFonts w:ascii="Calibri" w:hAnsi="Calibri" w:cs="Calibri"/>
                <w:b/>
                <w:bCs/>
                <w:color w:val="auto"/>
                <w:sz w:val="16"/>
                <w:szCs w:val="16"/>
              </w:rPr>
              <w:t>Delegado</w:t>
            </w:r>
            <w:proofErr w:type="gramEnd"/>
            <w:r w:rsidRPr="0089303E">
              <w:rPr>
                <w:rFonts w:ascii="Calibri" w:hAnsi="Calibri" w:cs="Calibri"/>
                <w:b/>
                <w:bCs/>
                <w:color w:val="auto"/>
                <w:sz w:val="16"/>
                <w:szCs w:val="16"/>
              </w:rPr>
              <w:t xml:space="preserve"> 2021/2139, aplicables hasta el 31 de diciembre de 2025:</w:t>
            </w:r>
          </w:p>
          <w:p w14:paraId="444695C6" w14:textId="77777777" w:rsidR="00F12FAE" w:rsidRPr="0089303E" w:rsidRDefault="00F12FAE" w:rsidP="0089303E">
            <w:pPr>
              <w:spacing w:after="6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Transporte marítimo de mercancías y embarcaciones para operaciones portuarias y actividades auxiliares y Transporte marítimo de pasajeros:</w:t>
            </w:r>
          </w:p>
          <w:p w14:paraId="62ECB06F" w14:textId="77777777" w:rsidR="00F12FAE" w:rsidRPr="0089303E" w:rsidRDefault="00F12FAE" w:rsidP="00002BC2">
            <w:pPr>
              <w:numPr>
                <w:ilvl w:val="0"/>
                <w:numId w:val="56"/>
              </w:numPr>
              <w:spacing w:after="60"/>
              <w:ind w:left="465"/>
              <w:contextualSpacing/>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Incluye la adquisición, financiación, fletamento y explotación de buques destinados al transporte de mercancías, transporte combinado de mercancías y pasajeros y transporte de pasajeros.</w:t>
            </w:r>
          </w:p>
          <w:p w14:paraId="2D39748F" w14:textId="77777777" w:rsidR="00F12FAE" w:rsidRPr="0089303E" w:rsidRDefault="00F12FAE" w:rsidP="00002BC2">
            <w:pPr>
              <w:numPr>
                <w:ilvl w:val="0"/>
                <w:numId w:val="56"/>
              </w:numPr>
              <w:spacing w:after="60"/>
              <w:ind w:left="465"/>
              <w:contextualSpacing/>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Criterios:</w:t>
            </w:r>
          </w:p>
          <w:p w14:paraId="10394A73" w14:textId="77777777" w:rsidR="00F12FAE" w:rsidRPr="0089303E" w:rsidRDefault="00F12FAE" w:rsidP="00002BC2">
            <w:pPr>
              <w:numPr>
                <w:ilvl w:val="1"/>
                <w:numId w:val="56"/>
              </w:numPr>
              <w:spacing w:after="60"/>
              <w:ind w:left="1032"/>
              <w:contextualSpacing/>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Buques con cero emisiones directas de CO</w:t>
            </w:r>
            <w:r w:rsidRPr="0089303E">
              <w:rPr>
                <w:rFonts w:ascii="Calibri" w:hAnsi="Calibri" w:cs="Calibri"/>
                <w:color w:val="auto"/>
                <w:sz w:val="16"/>
                <w:szCs w:val="16"/>
                <w:vertAlign w:val="subscript"/>
              </w:rPr>
              <w:t>2</w:t>
            </w:r>
            <w:r w:rsidRPr="0089303E">
              <w:rPr>
                <w:rFonts w:ascii="Calibri" w:hAnsi="Calibri" w:cs="Calibri"/>
                <w:color w:val="auto"/>
                <w:sz w:val="16"/>
                <w:szCs w:val="16"/>
              </w:rPr>
              <w:t>.</w:t>
            </w:r>
          </w:p>
          <w:p w14:paraId="00E9CF9C" w14:textId="77777777" w:rsidR="00F12FAE" w:rsidRPr="0089303E" w:rsidRDefault="00F12FAE" w:rsidP="00002BC2">
            <w:pPr>
              <w:numPr>
                <w:ilvl w:val="1"/>
                <w:numId w:val="56"/>
              </w:numPr>
              <w:spacing w:after="60"/>
              <w:ind w:left="1032"/>
              <w:contextualSpacing/>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89303E">
              <w:rPr>
                <w:rFonts w:ascii="Calibri" w:hAnsi="Calibri" w:cs="Calibri"/>
                <w:b/>
                <w:bCs/>
                <w:color w:val="auto"/>
                <w:sz w:val="16"/>
                <w:szCs w:val="16"/>
              </w:rPr>
              <w:t>Hasta el 31 de diciembre de 2025</w:t>
            </w:r>
            <w:r w:rsidRPr="0089303E">
              <w:rPr>
                <w:rFonts w:ascii="Calibri" w:hAnsi="Calibri" w:cs="Calibri"/>
                <w:color w:val="auto"/>
                <w:sz w:val="16"/>
                <w:szCs w:val="16"/>
              </w:rPr>
              <w:t>, buques híbridos y de combustible dual que obtienen al menos el 25% de su energía de combustibles con cero emisiones directas de CO</w:t>
            </w:r>
            <w:r w:rsidRPr="0089303E">
              <w:rPr>
                <w:rFonts w:ascii="Calibri" w:hAnsi="Calibri" w:cs="Calibri"/>
                <w:color w:val="auto"/>
                <w:sz w:val="16"/>
                <w:szCs w:val="16"/>
                <w:vertAlign w:val="subscript"/>
              </w:rPr>
              <w:t>2</w:t>
            </w:r>
            <w:r w:rsidRPr="0089303E">
              <w:rPr>
                <w:rFonts w:ascii="Calibri" w:hAnsi="Calibri" w:cs="Calibri"/>
                <w:color w:val="auto"/>
                <w:sz w:val="16"/>
                <w:szCs w:val="16"/>
              </w:rPr>
              <w:t xml:space="preserve"> o de electricidad.</w:t>
            </w:r>
          </w:p>
          <w:p w14:paraId="24CE3F22" w14:textId="77777777" w:rsidR="00F12FAE" w:rsidRPr="0089303E" w:rsidRDefault="00F12FAE" w:rsidP="00002BC2">
            <w:pPr>
              <w:numPr>
                <w:ilvl w:val="1"/>
                <w:numId w:val="56"/>
              </w:numPr>
              <w:spacing w:after="60"/>
              <w:ind w:left="1032"/>
              <w:contextualSpacing/>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89303E">
              <w:rPr>
                <w:rFonts w:ascii="Calibri" w:hAnsi="Calibri" w:cs="Calibri"/>
                <w:b/>
                <w:bCs/>
                <w:color w:val="auto"/>
                <w:sz w:val="16"/>
                <w:szCs w:val="16"/>
              </w:rPr>
              <w:t xml:space="preserve">Hasta el 31 de diciembre de 2025, </w:t>
            </w:r>
            <w:r w:rsidRPr="0089303E">
              <w:rPr>
                <w:rFonts w:ascii="Calibri" w:hAnsi="Calibri" w:cs="Calibri"/>
                <w:color w:val="auto"/>
                <w:sz w:val="16"/>
                <w:szCs w:val="16"/>
              </w:rPr>
              <w:t>buques con un EEDI de proyecto 10% inferior al EEDI de referencia aplicable a 1 de abril de 2022.</w:t>
            </w:r>
          </w:p>
          <w:p w14:paraId="1758BC52" w14:textId="77777777" w:rsidR="00F12FAE" w:rsidRPr="0089303E" w:rsidRDefault="00F12FAE" w:rsidP="00002BC2">
            <w:pPr>
              <w:numPr>
                <w:ilvl w:val="1"/>
                <w:numId w:val="56"/>
              </w:numPr>
              <w:spacing w:after="60"/>
              <w:ind w:left="1032"/>
              <w:contextualSpacing/>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89303E">
              <w:rPr>
                <w:rFonts w:ascii="Calibri" w:hAnsi="Calibri" w:cs="Calibri"/>
                <w:b/>
                <w:bCs/>
                <w:color w:val="auto"/>
                <w:sz w:val="16"/>
                <w:szCs w:val="16"/>
              </w:rPr>
              <w:t xml:space="preserve">Hasta el 31 de diciembre de 2025, </w:t>
            </w:r>
            <w:r w:rsidRPr="0089303E">
              <w:rPr>
                <w:rFonts w:ascii="Calibri" w:hAnsi="Calibri" w:cs="Calibri"/>
                <w:color w:val="auto"/>
                <w:sz w:val="16"/>
                <w:szCs w:val="16"/>
              </w:rPr>
              <w:t>buques que sirvan para propiciar el cambio modal del transporte por carretera al mar, y tengan unas emisiones directas de CO</w:t>
            </w:r>
            <w:r w:rsidRPr="0089303E">
              <w:rPr>
                <w:rFonts w:ascii="Calibri" w:hAnsi="Calibri" w:cs="Calibri"/>
                <w:color w:val="auto"/>
                <w:sz w:val="16"/>
                <w:szCs w:val="16"/>
                <w:vertAlign w:val="subscript"/>
              </w:rPr>
              <w:t>2</w:t>
            </w:r>
            <w:r w:rsidRPr="0089303E">
              <w:rPr>
                <w:rFonts w:ascii="Calibri" w:hAnsi="Calibri" w:cs="Calibri"/>
                <w:color w:val="auto"/>
                <w:sz w:val="16"/>
                <w:szCs w:val="16"/>
              </w:rPr>
              <w:t xml:space="preserve">, </w:t>
            </w:r>
            <w:r w:rsidRPr="0089303E">
              <w:rPr>
                <w:rFonts w:ascii="Calibri" w:hAnsi="Calibri" w:cs="Calibri"/>
                <w:color w:val="auto"/>
                <w:sz w:val="16"/>
                <w:szCs w:val="16"/>
              </w:rPr>
              <w:lastRenderedPageBreak/>
              <w:t>calculadas utilizando el EEDI de la OMI, un 50% inferiores al valor medio de referencia definido para los vehículos pesados (sólo aplica al transporte de mercancías).</w:t>
            </w:r>
          </w:p>
          <w:p w14:paraId="423D40E9" w14:textId="77777777" w:rsidR="00F12FAE" w:rsidRPr="0089303E" w:rsidRDefault="00F12FAE" w:rsidP="0089303E">
            <w:pPr>
              <w:spacing w:after="6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 xml:space="preserve">Fabricación de tecnologías </w:t>
            </w:r>
            <w:proofErr w:type="spellStart"/>
            <w:r w:rsidRPr="0089303E">
              <w:rPr>
                <w:rFonts w:ascii="Calibri" w:hAnsi="Calibri" w:cs="Calibri"/>
                <w:color w:val="auto"/>
                <w:sz w:val="16"/>
                <w:szCs w:val="16"/>
              </w:rPr>
              <w:t>hipocarbónicas</w:t>
            </w:r>
            <w:proofErr w:type="spellEnd"/>
            <w:r w:rsidRPr="0089303E">
              <w:rPr>
                <w:rFonts w:ascii="Calibri" w:hAnsi="Calibri" w:cs="Calibri"/>
                <w:color w:val="auto"/>
                <w:sz w:val="16"/>
                <w:szCs w:val="16"/>
              </w:rPr>
              <w:t xml:space="preserve"> para el transporte:</w:t>
            </w:r>
          </w:p>
          <w:p w14:paraId="42F005CC" w14:textId="77777777" w:rsidR="00F12FAE" w:rsidRPr="0089303E" w:rsidRDefault="00F12FAE" w:rsidP="00002BC2">
            <w:pPr>
              <w:numPr>
                <w:ilvl w:val="0"/>
                <w:numId w:val="57"/>
              </w:numPr>
              <w:spacing w:after="60"/>
              <w:ind w:left="465"/>
              <w:contextualSpacing/>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Incluye la fabricación, reparación, mantenimiento, renovación, reconversión y modernización de buques no dedicados al transporte de combustibles fósiles y otros modos de transporte.</w:t>
            </w:r>
          </w:p>
          <w:p w14:paraId="0D1B287F" w14:textId="77777777" w:rsidR="00F12FAE" w:rsidRPr="0089303E" w:rsidRDefault="00F12FAE" w:rsidP="00002BC2">
            <w:pPr>
              <w:numPr>
                <w:ilvl w:val="0"/>
                <w:numId w:val="57"/>
              </w:numPr>
              <w:spacing w:after="60"/>
              <w:ind w:left="465"/>
              <w:contextualSpacing/>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Se consideran actividades facilitadoras.</w:t>
            </w:r>
          </w:p>
          <w:p w14:paraId="65ED4B41" w14:textId="77777777" w:rsidR="00F12FAE" w:rsidRPr="0089303E" w:rsidRDefault="00F12FAE" w:rsidP="00002BC2">
            <w:pPr>
              <w:numPr>
                <w:ilvl w:val="0"/>
                <w:numId w:val="57"/>
              </w:numPr>
              <w:spacing w:after="60"/>
              <w:ind w:left="465"/>
              <w:contextualSpacing/>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Criterios: mismos que los anteriores.</w:t>
            </w:r>
          </w:p>
          <w:p w14:paraId="5B6CE284" w14:textId="77777777" w:rsidR="00F12FAE" w:rsidRPr="0089303E" w:rsidRDefault="00F12FAE" w:rsidP="0089303E">
            <w:pPr>
              <w:spacing w:after="6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Renovación de embarcaciones para el transporte marítimo de pasajeros y mercancías:</w:t>
            </w:r>
          </w:p>
          <w:p w14:paraId="7B3ABCFD" w14:textId="77777777" w:rsidR="00F12FAE" w:rsidRPr="0089303E" w:rsidRDefault="00F12FAE" w:rsidP="00002BC2">
            <w:pPr>
              <w:numPr>
                <w:ilvl w:val="0"/>
                <w:numId w:val="58"/>
              </w:numPr>
              <w:spacing w:after="60"/>
              <w:ind w:left="465"/>
              <w:contextualSpacing/>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Incluye la renovación y modernización de buques destinados al transporte de mercancías o pasajeros, y embarcaciones para operaciones portuarias y actividades auxiliares.</w:t>
            </w:r>
          </w:p>
          <w:p w14:paraId="17712A5A" w14:textId="77777777" w:rsidR="00F12FAE" w:rsidRPr="0089303E" w:rsidRDefault="00F12FAE" w:rsidP="00002BC2">
            <w:pPr>
              <w:numPr>
                <w:ilvl w:val="0"/>
                <w:numId w:val="58"/>
              </w:numPr>
              <w:spacing w:after="60"/>
              <w:ind w:left="465"/>
              <w:contextualSpacing/>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Criterios: buques que no se dedican al transporte de combustibles fósiles y que, tras la renovación, reducen el consumo de combustible al menos un 10% (en g/</w:t>
            </w:r>
            <w:proofErr w:type="spellStart"/>
            <w:r w:rsidRPr="0089303E">
              <w:rPr>
                <w:rFonts w:ascii="Calibri" w:hAnsi="Calibri" w:cs="Calibri"/>
                <w:color w:val="auto"/>
                <w:sz w:val="16"/>
                <w:szCs w:val="16"/>
              </w:rPr>
              <w:t>tpm</w:t>
            </w:r>
            <w:proofErr w:type="spellEnd"/>
            <w:r w:rsidRPr="0089303E">
              <w:rPr>
                <w:rFonts w:ascii="Calibri" w:hAnsi="Calibri" w:cs="Calibri"/>
                <w:color w:val="auto"/>
                <w:sz w:val="16"/>
                <w:szCs w:val="16"/>
              </w:rPr>
              <w:t xml:space="preserve"> y milla náutica transportada).</w:t>
            </w:r>
          </w:p>
        </w:tc>
      </w:tr>
      <w:tr w:rsidR="00F12FAE" w:rsidRPr="0089303E" w14:paraId="75AB930C" w14:textId="77777777" w:rsidTr="00435E18">
        <w:trPr>
          <w:cnfStyle w:val="000000100000" w:firstRow="0" w:lastRow="0" w:firstColumn="0" w:lastColumn="0" w:oddVBand="0" w:evenVBand="0" w:oddHBand="1" w:evenHBand="0" w:firstRowFirstColumn="0" w:firstRowLastColumn="0" w:lastRowFirstColumn="0" w:lastRowLastColumn="0"/>
          <w:cantSplit/>
          <w:trHeight w:val="761"/>
        </w:trPr>
        <w:tc>
          <w:tcPr>
            <w:cnfStyle w:val="001000000000" w:firstRow="0" w:lastRow="0" w:firstColumn="1" w:lastColumn="0" w:oddVBand="0" w:evenVBand="0" w:oddHBand="0" w:evenHBand="0" w:firstRowFirstColumn="0" w:firstRowLastColumn="0" w:lastRowFirstColumn="0" w:lastRowLastColumn="0"/>
            <w:tcW w:w="174" w:type="pct"/>
            <w:vMerge/>
            <w:shd w:val="clear" w:color="auto" w:fill="1D3C5A"/>
            <w:textDirection w:val="btLr"/>
            <w:vAlign w:val="center"/>
          </w:tcPr>
          <w:p w14:paraId="2225418E" w14:textId="77777777" w:rsidR="00F12FAE" w:rsidRPr="0089303E" w:rsidRDefault="00F12FAE" w:rsidP="0089303E">
            <w:pPr>
              <w:spacing w:after="60"/>
              <w:ind w:left="113" w:right="113"/>
              <w:jc w:val="center"/>
              <w:rPr>
                <w:rFonts w:ascii="Calibri Light" w:eastAsia="Times New Roman" w:hAnsi="Calibri Light" w:cs="Calibri Light"/>
                <w:color w:val="FFFFFF"/>
                <w:sz w:val="18"/>
                <w:szCs w:val="18"/>
                <w:lang w:eastAsia="en-GB"/>
              </w:rPr>
            </w:pPr>
          </w:p>
        </w:tc>
        <w:tc>
          <w:tcPr>
            <w:tcW w:w="652" w:type="pct"/>
            <w:shd w:val="clear" w:color="auto" w:fill="auto"/>
            <w:vAlign w:val="center"/>
          </w:tcPr>
          <w:p w14:paraId="0A509644" w14:textId="77777777" w:rsidR="00F12FAE" w:rsidRPr="0089303E" w:rsidRDefault="00F12FAE" w:rsidP="0089303E">
            <w:pPr>
              <w:spacing w:after="60"/>
              <w:jc w:val="left"/>
              <w:cnfStyle w:val="000000100000" w:firstRow="0" w:lastRow="0" w:firstColumn="0" w:lastColumn="0" w:oddVBand="0" w:evenVBand="0" w:oddHBand="1" w:evenHBand="0" w:firstRowFirstColumn="0" w:firstRowLastColumn="0" w:lastRowFirstColumn="0" w:lastRowLastColumn="0"/>
              <w:rPr>
                <w:rFonts w:ascii="Calibri Light" w:hAnsi="Calibri Light" w:cs="Calibri Light"/>
                <w:b/>
                <w:bCs/>
                <w:color w:val="538135"/>
                <w:sz w:val="18"/>
                <w:szCs w:val="18"/>
              </w:rPr>
            </w:pPr>
            <w:r w:rsidRPr="00377592">
              <w:rPr>
                <w:rFonts w:ascii="Calibri Light" w:hAnsi="Calibri Light" w:cs="Calibri Light"/>
                <w:b/>
                <w:bCs/>
                <w:sz w:val="18"/>
                <w:szCs w:val="18"/>
              </w:rPr>
              <w:t>Directiva CSRD</w:t>
            </w:r>
          </w:p>
        </w:tc>
        <w:tc>
          <w:tcPr>
            <w:tcW w:w="4174" w:type="pct"/>
            <w:gridSpan w:val="5"/>
            <w:shd w:val="clear" w:color="auto" w:fill="auto"/>
            <w:vAlign w:val="center"/>
          </w:tcPr>
          <w:p w14:paraId="50A17296" w14:textId="77777777" w:rsidR="00F12FAE" w:rsidRPr="0089303E" w:rsidRDefault="00F12FAE" w:rsidP="0089303E">
            <w:pPr>
              <w:spacing w:after="6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 xml:space="preserve">Entró en vigor el </w:t>
            </w:r>
            <w:r w:rsidRPr="0089303E">
              <w:rPr>
                <w:rFonts w:ascii="Calibri" w:hAnsi="Calibri" w:cs="Calibri"/>
                <w:b/>
                <w:bCs/>
                <w:color w:val="auto"/>
                <w:sz w:val="16"/>
                <w:szCs w:val="16"/>
              </w:rPr>
              <w:t>5 de enero de 2023</w:t>
            </w:r>
            <w:r w:rsidRPr="0089303E">
              <w:rPr>
                <w:rFonts w:ascii="Calibri" w:hAnsi="Calibri" w:cs="Calibri"/>
                <w:color w:val="auto"/>
                <w:sz w:val="16"/>
                <w:szCs w:val="16"/>
              </w:rPr>
              <w:t>.</w:t>
            </w:r>
          </w:p>
          <w:p w14:paraId="5CB5D40F" w14:textId="77777777" w:rsidR="00F12FAE" w:rsidRPr="0089303E" w:rsidRDefault="00F12FAE" w:rsidP="0089303E">
            <w:pPr>
              <w:spacing w:after="6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Las empresas sujetas a la directiva son:</w:t>
            </w:r>
          </w:p>
          <w:p w14:paraId="46952F0C" w14:textId="77777777" w:rsidR="00F12FAE" w:rsidRPr="0089303E" w:rsidRDefault="00F12FAE" w:rsidP="00002BC2">
            <w:pPr>
              <w:numPr>
                <w:ilvl w:val="0"/>
                <w:numId w:val="38"/>
              </w:numPr>
              <w:spacing w:after="60"/>
              <w:ind w:left="465"/>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Empresas que cotizan en los mercados regulados (excepto microempresas).</w:t>
            </w:r>
          </w:p>
          <w:p w14:paraId="643AB2E7" w14:textId="77777777" w:rsidR="00F12FAE" w:rsidRPr="0089303E" w:rsidRDefault="00F12FAE" w:rsidP="00002BC2">
            <w:pPr>
              <w:numPr>
                <w:ilvl w:val="0"/>
                <w:numId w:val="38"/>
              </w:numPr>
              <w:spacing w:after="60"/>
              <w:ind w:left="465"/>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Grandes empresas europeas y aquellas filiales de empresas no pertenecientes a la UE que operen en su territorio, siendo consideradas como tal:</w:t>
            </w:r>
          </w:p>
          <w:p w14:paraId="3AEE3610" w14:textId="77777777" w:rsidR="00F12FAE" w:rsidRPr="0089303E" w:rsidRDefault="00F12FAE" w:rsidP="00002BC2">
            <w:pPr>
              <w:numPr>
                <w:ilvl w:val="1"/>
                <w:numId w:val="38"/>
              </w:numPr>
              <w:spacing w:after="60"/>
              <w:ind w:left="1032"/>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Facturación &gt; 40 M€</w:t>
            </w:r>
          </w:p>
          <w:p w14:paraId="5F9CDE19" w14:textId="77777777" w:rsidR="00F12FAE" w:rsidRPr="0089303E" w:rsidRDefault="00F12FAE" w:rsidP="00002BC2">
            <w:pPr>
              <w:numPr>
                <w:ilvl w:val="1"/>
                <w:numId w:val="38"/>
              </w:numPr>
              <w:spacing w:after="60"/>
              <w:ind w:left="1032"/>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Balance total 20 M€</w:t>
            </w:r>
          </w:p>
          <w:p w14:paraId="20016091" w14:textId="77777777" w:rsidR="00F12FAE" w:rsidRPr="0089303E" w:rsidRDefault="00F12FAE" w:rsidP="00002BC2">
            <w:pPr>
              <w:numPr>
                <w:ilvl w:val="1"/>
                <w:numId w:val="38"/>
              </w:numPr>
              <w:spacing w:after="60"/>
              <w:ind w:left="1032"/>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&gt; 250 empleados</w:t>
            </w:r>
          </w:p>
          <w:p w14:paraId="6FE25B56" w14:textId="77777777" w:rsidR="00F12FAE" w:rsidRPr="0089303E" w:rsidRDefault="00F12FAE" w:rsidP="00002BC2">
            <w:pPr>
              <w:numPr>
                <w:ilvl w:val="0"/>
                <w:numId w:val="38"/>
              </w:numPr>
              <w:spacing w:after="60"/>
              <w:ind w:left="465"/>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Empresa de seguros y entidades de crédito.</w:t>
            </w:r>
          </w:p>
          <w:p w14:paraId="59D6E914" w14:textId="77777777" w:rsidR="00F12FAE" w:rsidRPr="0089303E" w:rsidRDefault="00F12FAE" w:rsidP="0089303E">
            <w:pPr>
              <w:spacing w:after="6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Las primeras declaraciones se deberán publicar:</w:t>
            </w:r>
          </w:p>
          <w:p w14:paraId="24B88167" w14:textId="77777777" w:rsidR="00F12FAE" w:rsidRPr="0089303E" w:rsidRDefault="00F12FAE" w:rsidP="00002BC2">
            <w:pPr>
              <w:numPr>
                <w:ilvl w:val="0"/>
                <w:numId w:val="39"/>
              </w:numPr>
              <w:spacing w:after="60"/>
              <w:ind w:left="465"/>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6"/>
                <w:szCs w:val="16"/>
              </w:rPr>
            </w:pPr>
            <w:r w:rsidRPr="0089303E">
              <w:rPr>
                <w:rFonts w:ascii="Calibri" w:hAnsi="Calibri" w:cs="Calibri"/>
                <w:b/>
                <w:bCs/>
                <w:color w:val="auto"/>
                <w:sz w:val="16"/>
                <w:szCs w:val="16"/>
              </w:rPr>
              <w:t>Desde el 1 de enero de 2024</w:t>
            </w:r>
            <w:r w:rsidRPr="0089303E">
              <w:rPr>
                <w:rFonts w:ascii="Calibri" w:hAnsi="Calibri" w:cs="Calibri"/>
                <w:color w:val="auto"/>
                <w:sz w:val="16"/>
                <w:szCs w:val="16"/>
              </w:rPr>
              <w:t xml:space="preserve"> las compañías con más de 500 empleados sujetas a la NFRD que deberán presentar sus informes en 2025.</w:t>
            </w:r>
          </w:p>
          <w:p w14:paraId="55491DCA" w14:textId="77777777" w:rsidR="00F12FAE" w:rsidRPr="0089303E" w:rsidRDefault="00F12FAE" w:rsidP="00002BC2">
            <w:pPr>
              <w:numPr>
                <w:ilvl w:val="0"/>
                <w:numId w:val="39"/>
              </w:numPr>
              <w:spacing w:after="60"/>
              <w:ind w:left="465"/>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6"/>
                <w:szCs w:val="16"/>
              </w:rPr>
            </w:pPr>
            <w:r w:rsidRPr="0089303E">
              <w:rPr>
                <w:rFonts w:ascii="Calibri" w:hAnsi="Calibri" w:cs="Calibri"/>
                <w:b/>
                <w:bCs/>
                <w:color w:val="auto"/>
                <w:sz w:val="16"/>
                <w:szCs w:val="16"/>
              </w:rPr>
              <w:t>Desde</w:t>
            </w:r>
            <w:r w:rsidRPr="0089303E">
              <w:rPr>
                <w:rFonts w:ascii="Calibri Light" w:hAnsi="Calibri Light" w:cs="Times New Roman"/>
                <w:color w:val="auto"/>
              </w:rPr>
              <w:t xml:space="preserve"> </w:t>
            </w:r>
            <w:r w:rsidRPr="0089303E">
              <w:rPr>
                <w:rFonts w:ascii="Calibri" w:hAnsi="Calibri" w:cs="Calibri"/>
                <w:b/>
                <w:bCs/>
                <w:color w:val="auto"/>
                <w:sz w:val="16"/>
                <w:szCs w:val="16"/>
              </w:rPr>
              <w:t>el 1 de enero de 2025</w:t>
            </w:r>
            <w:r w:rsidRPr="0089303E">
              <w:rPr>
                <w:rFonts w:ascii="Calibri" w:hAnsi="Calibri" w:cs="Calibri"/>
                <w:color w:val="auto"/>
                <w:sz w:val="16"/>
                <w:szCs w:val="16"/>
              </w:rPr>
              <w:t xml:space="preserve"> las grandes empresas europeas que cumplan las condiciones expuestas más arriba.</w:t>
            </w:r>
          </w:p>
          <w:p w14:paraId="7108B242" w14:textId="77777777" w:rsidR="00F12FAE" w:rsidRPr="0089303E" w:rsidRDefault="00F12FAE" w:rsidP="0089303E">
            <w:pPr>
              <w:spacing w:after="6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6"/>
                <w:szCs w:val="16"/>
              </w:rPr>
            </w:pPr>
            <w:r w:rsidRPr="0089303E">
              <w:rPr>
                <w:rFonts w:ascii="Calibri" w:hAnsi="Calibri" w:cs="Calibri"/>
                <w:b/>
                <w:bCs/>
                <w:color w:val="auto"/>
                <w:sz w:val="16"/>
                <w:szCs w:val="16"/>
              </w:rPr>
              <w:t>Desde el 1 de enero de 2026</w:t>
            </w:r>
            <w:r w:rsidRPr="0089303E">
              <w:rPr>
                <w:rFonts w:ascii="Calibri" w:hAnsi="Calibri" w:cs="Calibri"/>
                <w:color w:val="auto"/>
                <w:sz w:val="16"/>
                <w:szCs w:val="16"/>
              </w:rPr>
              <w:t xml:space="preserve"> las entidades de crédito pequeñas y no complejas, las aseguradoras cautivas y las pymes cotizadas, que contarán con una opción de exclusión voluntaria hasta 2028.</w:t>
            </w:r>
          </w:p>
        </w:tc>
      </w:tr>
      <w:tr w:rsidR="00F12FAE" w:rsidRPr="0089303E" w14:paraId="097FB7B9" w14:textId="77777777" w:rsidTr="00435E18">
        <w:trPr>
          <w:cantSplit/>
          <w:trHeight w:val="761"/>
        </w:trPr>
        <w:tc>
          <w:tcPr>
            <w:cnfStyle w:val="001000000000" w:firstRow="0" w:lastRow="0" w:firstColumn="1" w:lastColumn="0" w:oddVBand="0" w:evenVBand="0" w:oddHBand="0" w:evenHBand="0" w:firstRowFirstColumn="0" w:firstRowLastColumn="0" w:lastRowFirstColumn="0" w:lastRowLastColumn="0"/>
            <w:tcW w:w="174" w:type="pct"/>
            <w:vMerge/>
            <w:shd w:val="clear" w:color="auto" w:fill="1D3C5A"/>
            <w:textDirection w:val="btLr"/>
            <w:vAlign w:val="center"/>
          </w:tcPr>
          <w:p w14:paraId="523523FA" w14:textId="77777777" w:rsidR="00F12FAE" w:rsidRPr="0089303E" w:rsidRDefault="00F12FAE" w:rsidP="0089303E">
            <w:pPr>
              <w:spacing w:after="60"/>
              <w:ind w:left="113" w:right="113"/>
              <w:jc w:val="center"/>
              <w:rPr>
                <w:rFonts w:ascii="Calibri Light" w:eastAsia="Times New Roman" w:hAnsi="Calibri Light" w:cs="Calibri Light"/>
                <w:color w:val="FFFFFF"/>
                <w:sz w:val="18"/>
                <w:szCs w:val="18"/>
                <w:lang w:eastAsia="en-GB"/>
              </w:rPr>
            </w:pPr>
          </w:p>
        </w:tc>
        <w:tc>
          <w:tcPr>
            <w:tcW w:w="652" w:type="pct"/>
            <w:shd w:val="clear" w:color="auto" w:fill="F6F9FC"/>
            <w:vAlign w:val="center"/>
          </w:tcPr>
          <w:p w14:paraId="5BB207F5" w14:textId="77777777" w:rsidR="00F12FAE" w:rsidRPr="0089303E" w:rsidRDefault="00F12FAE" w:rsidP="0089303E">
            <w:pPr>
              <w:spacing w:after="60"/>
              <w:jc w:val="left"/>
              <w:cnfStyle w:val="000000000000" w:firstRow="0" w:lastRow="0" w:firstColumn="0" w:lastColumn="0" w:oddVBand="0" w:evenVBand="0" w:oddHBand="0" w:evenHBand="0" w:firstRowFirstColumn="0" w:firstRowLastColumn="0" w:lastRowFirstColumn="0" w:lastRowLastColumn="0"/>
              <w:rPr>
                <w:rFonts w:ascii="Calibri Light" w:hAnsi="Calibri Light" w:cs="Calibri Light"/>
                <w:b/>
                <w:bCs/>
                <w:color w:val="auto"/>
                <w:sz w:val="18"/>
                <w:szCs w:val="18"/>
              </w:rPr>
            </w:pPr>
            <w:r w:rsidRPr="00377592">
              <w:rPr>
                <w:rFonts w:ascii="Calibri Light" w:hAnsi="Calibri Light" w:cs="Calibri Light"/>
                <w:b/>
                <w:bCs/>
                <w:sz w:val="18"/>
                <w:szCs w:val="18"/>
              </w:rPr>
              <w:t>Reglamento AFIR</w:t>
            </w:r>
          </w:p>
        </w:tc>
        <w:tc>
          <w:tcPr>
            <w:tcW w:w="869" w:type="pct"/>
            <w:shd w:val="clear" w:color="auto" w:fill="F6F9FC"/>
            <w:vAlign w:val="center"/>
          </w:tcPr>
          <w:p w14:paraId="57E82F8C" w14:textId="77777777" w:rsidR="00F12FAE" w:rsidRPr="0089303E" w:rsidRDefault="00F12FAE" w:rsidP="0089303E">
            <w:pPr>
              <w:spacing w:after="6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Suministro de energía en tierra (OPS) (</w:t>
            </w:r>
            <w:r w:rsidRPr="0089303E">
              <w:rPr>
                <w:rFonts w:ascii="Calibri" w:hAnsi="Calibri" w:cs="Calibri"/>
                <w:b/>
                <w:bCs/>
                <w:color w:val="auto"/>
                <w:sz w:val="16"/>
                <w:szCs w:val="16"/>
              </w:rPr>
              <w:t>antes del 1 de enero de 2030</w:t>
            </w:r>
            <w:r w:rsidRPr="0089303E">
              <w:rPr>
                <w:rFonts w:ascii="Calibri" w:hAnsi="Calibri" w:cs="Calibri"/>
                <w:color w:val="auto"/>
                <w:sz w:val="16"/>
                <w:szCs w:val="16"/>
              </w:rPr>
              <w:t>):</w:t>
            </w:r>
          </w:p>
          <w:p w14:paraId="0174FD22" w14:textId="77777777" w:rsidR="00F12FAE" w:rsidRPr="0089303E" w:rsidRDefault="00F12FAE" w:rsidP="0089303E">
            <w:pPr>
              <w:numPr>
                <w:ilvl w:val="0"/>
                <w:numId w:val="29"/>
              </w:numPr>
              <w:spacing w:after="60"/>
              <w:ind w:left="458"/>
              <w:contextualSpacing/>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&gt;90% de las escalas anuales para Portacontenedores &gt;5.000 GT (&gt;100 escalas anuales).</w:t>
            </w:r>
          </w:p>
          <w:p w14:paraId="001FAAB7" w14:textId="77777777" w:rsidR="00F12FAE" w:rsidRPr="0089303E" w:rsidRDefault="00F12FAE" w:rsidP="0089303E">
            <w:pPr>
              <w:numPr>
                <w:ilvl w:val="0"/>
                <w:numId w:val="29"/>
              </w:numPr>
              <w:spacing w:after="60"/>
              <w:ind w:left="458"/>
              <w:contextualSpacing/>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&gt;90% de las escalas anuales para Ro-</w:t>
            </w:r>
            <w:proofErr w:type="spellStart"/>
            <w:r w:rsidRPr="0089303E">
              <w:rPr>
                <w:rFonts w:ascii="Calibri" w:hAnsi="Calibri" w:cs="Calibri"/>
                <w:color w:val="auto"/>
                <w:sz w:val="16"/>
                <w:szCs w:val="16"/>
              </w:rPr>
              <w:t>pax</w:t>
            </w:r>
            <w:proofErr w:type="spellEnd"/>
            <w:r w:rsidRPr="0089303E">
              <w:rPr>
                <w:rFonts w:ascii="Calibri" w:hAnsi="Calibri" w:cs="Calibri"/>
                <w:color w:val="auto"/>
                <w:sz w:val="16"/>
                <w:szCs w:val="16"/>
              </w:rPr>
              <w:t xml:space="preserve"> y NVG (pasaje) &gt;5.000 GT (&gt;40 escalas anuales).</w:t>
            </w:r>
          </w:p>
          <w:p w14:paraId="59E4EC25" w14:textId="77777777" w:rsidR="00F12FAE" w:rsidRPr="0089303E" w:rsidRDefault="00F12FAE" w:rsidP="0089303E">
            <w:pPr>
              <w:numPr>
                <w:ilvl w:val="0"/>
                <w:numId w:val="29"/>
              </w:numPr>
              <w:spacing w:after="60"/>
              <w:ind w:left="458"/>
              <w:contextualSpacing/>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&gt;90% de las escalas anuales para Buques de pasaje &gt;5.000 GT (&gt;25 escalas anuales).</w:t>
            </w:r>
          </w:p>
          <w:p w14:paraId="3E443F96" w14:textId="77777777" w:rsidR="00F12FAE" w:rsidRPr="0089303E" w:rsidRDefault="00F12FAE" w:rsidP="0089303E">
            <w:pPr>
              <w:spacing w:after="6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Combustibles alternativos:</w:t>
            </w:r>
          </w:p>
          <w:p w14:paraId="5B484065" w14:textId="77777777" w:rsidR="00F12FAE" w:rsidRPr="0089303E" w:rsidRDefault="00F12FAE" w:rsidP="0089303E">
            <w:pPr>
              <w:numPr>
                <w:ilvl w:val="0"/>
                <w:numId w:val="30"/>
              </w:numPr>
              <w:spacing w:after="60"/>
              <w:ind w:left="458"/>
              <w:contextualSpacing/>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89303E">
              <w:rPr>
                <w:rFonts w:ascii="Calibri" w:hAnsi="Calibri" w:cs="Calibri"/>
                <w:b/>
                <w:bCs/>
                <w:color w:val="auto"/>
                <w:sz w:val="16"/>
                <w:szCs w:val="16"/>
              </w:rPr>
              <w:t>Antes del 1 de enero de 2025</w:t>
            </w:r>
            <w:r w:rsidRPr="0089303E">
              <w:rPr>
                <w:rFonts w:ascii="Calibri" w:hAnsi="Calibri" w:cs="Calibri"/>
                <w:color w:val="auto"/>
                <w:sz w:val="16"/>
                <w:szCs w:val="16"/>
              </w:rPr>
              <w:t>, los puertos de la RED TEN T designados por los estados miembros dispondrán de un número adecuado de puntos de suministro de metano GNL.</w:t>
            </w:r>
          </w:p>
          <w:p w14:paraId="7DDB59E6" w14:textId="77777777" w:rsidR="00F12FAE" w:rsidRPr="0089303E" w:rsidRDefault="00F12FAE" w:rsidP="0089303E">
            <w:pPr>
              <w:spacing w:after="6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Revisión del Reglamento:</w:t>
            </w:r>
          </w:p>
          <w:p w14:paraId="6314CC61" w14:textId="77777777" w:rsidR="00F12FAE" w:rsidRPr="0089303E" w:rsidRDefault="00F12FAE" w:rsidP="0089303E">
            <w:pPr>
              <w:numPr>
                <w:ilvl w:val="0"/>
                <w:numId w:val="30"/>
              </w:numPr>
              <w:spacing w:after="60"/>
              <w:ind w:left="458"/>
              <w:contextualSpacing/>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89303E">
              <w:rPr>
                <w:rFonts w:ascii="Calibri" w:hAnsi="Calibri" w:cs="Calibri"/>
                <w:b/>
                <w:bCs/>
                <w:color w:val="auto"/>
                <w:sz w:val="16"/>
                <w:szCs w:val="16"/>
              </w:rPr>
              <w:t>Antes de diciembre de 2026</w:t>
            </w:r>
            <w:r w:rsidRPr="0089303E">
              <w:rPr>
                <w:rFonts w:ascii="Calibri" w:hAnsi="Calibri" w:cs="Calibri"/>
                <w:color w:val="auto"/>
                <w:sz w:val="16"/>
                <w:szCs w:val="16"/>
              </w:rPr>
              <w:t xml:space="preserve"> se analizará la posibilidad de integrar nuevos tipos de combustible y nuevas categorías de buques.</w:t>
            </w:r>
          </w:p>
        </w:tc>
        <w:tc>
          <w:tcPr>
            <w:tcW w:w="740" w:type="pct"/>
            <w:shd w:val="clear" w:color="auto" w:fill="F6F9FC"/>
            <w:vAlign w:val="center"/>
          </w:tcPr>
          <w:p w14:paraId="7165F2A3" w14:textId="18DAC854" w:rsidR="00F12FAE" w:rsidRPr="0089303E" w:rsidRDefault="00F12FAE" w:rsidP="0089303E">
            <w:pPr>
              <w:spacing w:after="6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p>
        </w:tc>
        <w:tc>
          <w:tcPr>
            <w:tcW w:w="870" w:type="pct"/>
            <w:shd w:val="clear" w:color="auto" w:fill="F6F9FC"/>
            <w:vAlign w:val="center"/>
          </w:tcPr>
          <w:p w14:paraId="61694C03" w14:textId="77777777" w:rsidR="00F12FAE" w:rsidRPr="0089303E" w:rsidRDefault="00F12FAE" w:rsidP="0001004B">
            <w:pPr>
              <w:spacing w:after="6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En los aeropuertos debe existir suministro de energía para:</w:t>
            </w:r>
          </w:p>
          <w:p w14:paraId="1F960268" w14:textId="77777777" w:rsidR="00F12FAE" w:rsidRPr="0089303E" w:rsidRDefault="00F12FAE" w:rsidP="0001004B">
            <w:pPr>
              <w:numPr>
                <w:ilvl w:val="0"/>
                <w:numId w:val="30"/>
              </w:numPr>
              <w:spacing w:after="60"/>
              <w:ind w:left="462"/>
              <w:contextualSpacing/>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 xml:space="preserve">Todos los puestos de aeronaves situados al lado de la terminal </w:t>
            </w:r>
            <w:r w:rsidRPr="0089303E">
              <w:rPr>
                <w:rFonts w:ascii="Calibri" w:hAnsi="Calibri" w:cs="Calibri"/>
                <w:b/>
                <w:bCs/>
                <w:color w:val="auto"/>
                <w:sz w:val="16"/>
                <w:szCs w:val="16"/>
              </w:rPr>
              <w:t>para 2025</w:t>
            </w:r>
            <w:r w:rsidRPr="0089303E">
              <w:rPr>
                <w:rFonts w:ascii="Calibri" w:hAnsi="Calibri" w:cs="Calibri"/>
                <w:color w:val="auto"/>
                <w:sz w:val="16"/>
                <w:szCs w:val="16"/>
              </w:rPr>
              <w:t>.</w:t>
            </w:r>
          </w:p>
          <w:p w14:paraId="58E71829" w14:textId="77777777" w:rsidR="00F12FAE" w:rsidRPr="0089303E" w:rsidRDefault="00F12FAE" w:rsidP="0001004B">
            <w:pPr>
              <w:numPr>
                <w:ilvl w:val="0"/>
                <w:numId w:val="30"/>
              </w:numPr>
              <w:spacing w:after="60"/>
              <w:ind w:left="462"/>
              <w:contextualSpacing/>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 xml:space="preserve">Todos los puestos de estacionamiento de aeronaves </w:t>
            </w:r>
            <w:r w:rsidRPr="0089303E">
              <w:rPr>
                <w:rFonts w:ascii="Calibri" w:hAnsi="Calibri" w:cs="Calibri"/>
                <w:b/>
                <w:bCs/>
                <w:color w:val="auto"/>
                <w:sz w:val="16"/>
                <w:szCs w:val="16"/>
              </w:rPr>
              <w:t>para 2030</w:t>
            </w:r>
            <w:r w:rsidRPr="0089303E">
              <w:rPr>
                <w:rFonts w:ascii="Calibri" w:hAnsi="Calibri" w:cs="Calibri"/>
                <w:color w:val="auto"/>
                <w:sz w:val="16"/>
                <w:szCs w:val="16"/>
              </w:rPr>
              <w:t>.</w:t>
            </w:r>
          </w:p>
          <w:p w14:paraId="53E97C01" w14:textId="3496C891" w:rsidR="00F12FAE" w:rsidRPr="0089303E" w:rsidRDefault="00F12FAE" w:rsidP="0001004B">
            <w:pPr>
              <w:spacing w:after="6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Podrán quedar exentos los puestos de estacionamientos de los aeropuertos que operen menos de 10.000 vuelos al año.</w:t>
            </w:r>
          </w:p>
        </w:tc>
        <w:tc>
          <w:tcPr>
            <w:tcW w:w="826" w:type="pct"/>
            <w:shd w:val="clear" w:color="auto" w:fill="F6F9FC"/>
            <w:vAlign w:val="center"/>
          </w:tcPr>
          <w:p w14:paraId="30D8AD16" w14:textId="77777777" w:rsidR="00F12FAE" w:rsidRPr="0089303E" w:rsidRDefault="00F12FAE" w:rsidP="0001004B">
            <w:pPr>
              <w:spacing w:after="6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Deberá haber estaciones de recarga al menos cada 60 km en las carreteras principales (red básica de la RTE-T):</w:t>
            </w:r>
          </w:p>
          <w:p w14:paraId="0374EFD9" w14:textId="77777777" w:rsidR="00F12FAE" w:rsidRPr="0089303E" w:rsidRDefault="00F12FAE" w:rsidP="0001004B">
            <w:pPr>
              <w:numPr>
                <w:ilvl w:val="0"/>
                <w:numId w:val="31"/>
              </w:numPr>
              <w:spacing w:after="60"/>
              <w:ind w:left="465"/>
              <w:contextualSpacing/>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 xml:space="preserve">Para turismos y camiones de &lt;3,5 toneladas para </w:t>
            </w:r>
            <w:r w:rsidRPr="0089303E">
              <w:rPr>
                <w:rFonts w:ascii="Calibri" w:hAnsi="Calibri" w:cs="Calibri"/>
                <w:b/>
                <w:bCs/>
                <w:color w:val="auto"/>
                <w:sz w:val="16"/>
                <w:szCs w:val="16"/>
              </w:rPr>
              <w:t>finales de 2025</w:t>
            </w:r>
            <w:r w:rsidRPr="0089303E">
              <w:rPr>
                <w:rFonts w:ascii="Calibri" w:hAnsi="Calibri" w:cs="Calibri"/>
                <w:color w:val="auto"/>
                <w:sz w:val="16"/>
                <w:szCs w:val="16"/>
              </w:rPr>
              <w:t>.</w:t>
            </w:r>
          </w:p>
          <w:p w14:paraId="38221CEB" w14:textId="77777777" w:rsidR="00F12FAE" w:rsidRPr="0089303E" w:rsidRDefault="00F12FAE" w:rsidP="0001004B">
            <w:pPr>
              <w:numPr>
                <w:ilvl w:val="0"/>
                <w:numId w:val="31"/>
              </w:numPr>
              <w:spacing w:after="60"/>
              <w:ind w:left="465"/>
              <w:contextualSpacing/>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 xml:space="preserve">Para camiones de &gt;3,5 toneladas para </w:t>
            </w:r>
            <w:r w:rsidRPr="0089303E">
              <w:rPr>
                <w:rFonts w:ascii="Calibri" w:hAnsi="Calibri" w:cs="Calibri"/>
                <w:b/>
                <w:bCs/>
                <w:color w:val="auto"/>
                <w:sz w:val="16"/>
                <w:szCs w:val="16"/>
              </w:rPr>
              <w:t>finales de 2030</w:t>
            </w:r>
            <w:r w:rsidRPr="0089303E">
              <w:rPr>
                <w:rFonts w:ascii="Calibri" w:hAnsi="Calibri" w:cs="Calibri"/>
                <w:color w:val="auto"/>
                <w:sz w:val="16"/>
                <w:szCs w:val="16"/>
              </w:rPr>
              <w:t>.</w:t>
            </w:r>
          </w:p>
          <w:p w14:paraId="0FBC28FC" w14:textId="77777777" w:rsidR="00F12FAE" w:rsidRPr="0089303E" w:rsidRDefault="00F12FAE" w:rsidP="0001004B">
            <w:pPr>
              <w:spacing w:after="6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Deberá haber estaciones de repostaje de hidrógeno:</w:t>
            </w:r>
          </w:p>
          <w:p w14:paraId="407CF535" w14:textId="77777777" w:rsidR="00F12FAE" w:rsidRPr="0089303E" w:rsidRDefault="00F12FAE" w:rsidP="0001004B">
            <w:pPr>
              <w:numPr>
                <w:ilvl w:val="0"/>
                <w:numId w:val="32"/>
              </w:numPr>
              <w:spacing w:after="60"/>
              <w:ind w:left="465"/>
              <w:contextualSpacing/>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Al menos cada 200 km en las carreteras principales (</w:t>
            </w:r>
            <w:r w:rsidRPr="0089303E">
              <w:rPr>
                <w:rFonts w:ascii="Calibri" w:hAnsi="Calibri" w:cs="Calibri"/>
                <w:b/>
                <w:bCs/>
                <w:color w:val="auto"/>
                <w:sz w:val="16"/>
                <w:szCs w:val="16"/>
              </w:rPr>
              <w:t>finales de 2030</w:t>
            </w:r>
            <w:r w:rsidRPr="0089303E">
              <w:rPr>
                <w:rFonts w:ascii="Calibri" w:hAnsi="Calibri" w:cs="Calibri"/>
                <w:color w:val="auto"/>
                <w:sz w:val="16"/>
                <w:szCs w:val="16"/>
              </w:rPr>
              <w:t>).</w:t>
            </w:r>
          </w:p>
          <w:p w14:paraId="14D7CBCC" w14:textId="77777777" w:rsidR="00F12FAE" w:rsidRPr="0089303E" w:rsidRDefault="00F12FAE" w:rsidP="0001004B">
            <w:pPr>
              <w:numPr>
                <w:ilvl w:val="0"/>
                <w:numId w:val="32"/>
              </w:numPr>
              <w:spacing w:after="60"/>
              <w:ind w:left="465"/>
              <w:contextualSpacing/>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Al menos una estación de repostaje en cada nodo urbano.</w:t>
            </w:r>
          </w:p>
          <w:p w14:paraId="35B206E9" w14:textId="77777777" w:rsidR="00F12FAE" w:rsidRPr="0089303E" w:rsidRDefault="00F12FAE" w:rsidP="0001004B">
            <w:pPr>
              <w:numPr>
                <w:ilvl w:val="0"/>
                <w:numId w:val="32"/>
              </w:numPr>
              <w:spacing w:after="60"/>
              <w:ind w:left="465"/>
              <w:contextualSpacing/>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Cada estación de repostaje tendrá una capacidad prevista que le permita suministrar 1 tonelada de hidrógeno de 700 bares al día.</w:t>
            </w:r>
          </w:p>
          <w:p w14:paraId="3F4711AC" w14:textId="09BFDC29" w:rsidR="00F12FAE" w:rsidRPr="0089303E" w:rsidRDefault="00F12FAE" w:rsidP="0001004B">
            <w:pPr>
              <w:spacing w:after="6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Deberá haber puntos de repostaje de metano licuado al menos en las carreteras principales</w:t>
            </w:r>
          </w:p>
        </w:tc>
        <w:tc>
          <w:tcPr>
            <w:tcW w:w="869" w:type="pct"/>
            <w:shd w:val="clear" w:color="auto" w:fill="F6F9FC"/>
            <w:vAlign w:val="center"/>
          </w:tcPr>
          <w:p w14:paraId="247DCF20" w14:textId="77777777" w:rsidR="00F12FAE" w:rsidRPr="0089303E" w:rsidRDefault="00F12FAE" w:rsidP="0089303E">
            <w:pPr>
              <w:spacing w:after="6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p>
        </w:tc>
      </w:tr>
      <w:tr w:rsidR="00F12FAE" w:rsidRPr="0089303E" w14:paraId="2896D872" w14:textId="77777777" w:rsidTr="00435E18">
        <w:trPr>
          <w:cnfStyle w:val="000000100000" w:firstRow="0" w:lastRow="0" w:firstColumn="0" w:lastColumn="0" w:oddVBand="0" w:evenVBand="0" w:oddHBand="1" w:evenHBand="0" w:firstRowFirstColumn="0" w:firstRowLastColumn="0" w:lastRowFirstColumn="0" w:lastRowLastColumn="0"/>
          <w:cantSplit/>
          <w:trHeight w:val="761"/>
        </w:trPr>
        <w:tc>
          <w:tcPr>
            <w:cnfStyle w:val="001000000000" w:firstRow="0" w:lastRow="0" w:firstColumn="1" w:lastColumn="0" w:oddVBand="0" w:evenVBand="0" w:oddHBand="0" w:evenHBand="0" w:firstRowFirstColumn="0" w:firstRowLastColumn="0" w:lastRowFirstColumn="0" w:lastRowLastColumn="0"/>
            <w:tcW w:w="174" w:type="pct"/>
            <w:vMerge/>
            <w:shd w:val="clear" w:color="auto" w:fill="1D3C5A"/>
            <w:textDirection w:val="btLr"/>
            <w:vAlign w:val="center"/>
          </w:tcPr>
          <w:p w14:paraId="03B7F76C" w14:textId="77777777" w:rsidR="00F12FAE" w:rsidRPr="0089303E" w:rsidRDefault="00F12FAE" w:rsidP="0089303E">
            <w:pPr>
              <w:spacing w:after="60"/>
              <w:ind w:left="113" w:right="113"/>
              <w:jc w:val="center"/>
              <w:rPr>
                <w:rFonts w:ascii="Calibri Light" w:eastAsia="Times New Roman" w:hAnsi="Calibri Light" w:cs="Calibri Light"/>
                <w:color w:val="FFFFFF"/>
                <w:sz w:val="18"/>
                <w:szCs w:val="18"/>
                <w:lang w:eastAsia="en-GB"/>
              </w:rPr>
            </w:pPr>
          </w:p>
        </w:tc>
        <w:tc>
          <w:tcPr>
            <w:tcW w:w="652" w:type="pct"/>
            <w:shd w:val="clear" w:color="auto" w:fill="auto"/>
            <w:vAlign w:val="center"/>
          </w:tcPr>
          <w:p w14:paraId="439B9B16" w14:textId="511F3E89" w:rsidR="00F12FAE" w:rsidRPr="00377592" w:rsidRDefault="00F12FAE" w:rsidP="0089303E">
            <w:pPr>
              <w:spacing w:after="60"/>
              <w:jc w:val="left"/>
              <w:cnfStyle w:val="000000100000" w:firstRow="0" w:lastRow="0" w:firstColumn="0" w:lastColumn="0" w:oddVBand="0" w:evenVBand="0" w:oddHBand="1" w:evenHBand="0" w:firstRowFirstColumn="0" w:firstRowLastColumn="0" w:lastRowFirstColumn="0" w:lastRowLastColumn="0"/>
              <w:rPr>
                <w:rFonts w:ascii="Calibri Light" w:hAnsi="Calibri Light" w:cs="Calibri Light"/>
                <w:b/>
                <w:bCs/>
                <w:sz w:val="18"/>
                <w:szCs w:val="18"/>
              </w:rPr>
            </w:pPr>
            <w:r>
              <w:rPr>
                <w:rFonts w:ascii="Calibri Light" w:hAnsi="Calibri Light" w:cs="Calibri Light"/>
                <w:b/>
                <w:bCs/>
                <w:sz w:val="18"/>
                <w:szCs w:val="18"/>
              </w:rPr>
              <w:t>CBAM</w:t>
            </w:r>
          </w:p>
        </w:tc>
        <w:tc>
          <w:tcPr>
            <w:tcW w:w="4174" w:type="pct"/>
            <w:gridSpan w:val="5"/>
            <w:shd w:val="clear" w:color="auto" w:fill="auto"/>
            <w:vAlign w:val="center"/>
          </w:tcPr>
          <w:p w14:paraId="43998551" w14:textId="77777777" w:rsidR="00F12FAE" w:rsidRPr="0089303E" w:rsidRDefault="00F12FAE" w:rsidP="00002BC2">
            <w:pPr>
              <w:numPr>
                <w:ilvl w:val="0"/>
                <w:numId w:val="40"/>
              </w:numPr>
              <w:spacing w:after="60"/>
              <w:ind w:left="465"/>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Inicialmente abarcará los sectores de siderurgia, cemento, fertilizantes, aluminio y generación de electricidad.</w:t>
            </w:r>
          </w:p>
          <w:p w14:paraId="739C4499" w14:textId="77777777" w:rsidR="00F12FAE" w:rsidRPr="0089303E" w:rsidRDefault="00F12FAE" w:rsidP="00002BC2">
            <w:pPr>
              <w:numPr>
                <w:ilvl w:val="0"/>
                <w:numId w:val="40"/>
              </w:numPr>
              <w:spacing w:after="60"/>
              <w:ind w:left="465"/>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 xml:space="preserve">En la </w:t>
            </w:r>
            <w:r w:rsidRPr="0089303E">
              <w:rPr>
                <w:rFonts w:ascii="Calibri" w:hAnsi="Calibri" w:cs="Calibri"/>
                <w:b/>
                <w:bCs/>
                <w:color w:val="auto"/>
                <w:sz w:val="16"/>
                <w:szCs w:val="16"/>
              </w:rPr>
              <w:t>fase de transición (a partir de 2023</w:t>
            </w:r>
            <w:r w:rsidRPr="0089303E">
              <w:rPr>
                <w:rFonts w:ascii="Calibri" w:hAnsi="Calibri" w:cs="Calibri"/>
                <w:color w:val="auto"/>
                <w:sz w:val="16"/>
                <w:szCs w:val="16"/>
              </w:rPr>
              <w:t>) los importadores tendrían que notificar sus emisiones de CO</w:t>
            </w:r>
            <w:r w:rsidRPr="0089303E">
              <w:rPr>
                <w:rFonts w:ascii="Calibri" w:hAnsi="Calibri" w:cs="Calibri"/>
                <w:color w:val="auto"/>
                <w:sz w:val="16"/>
                <w:szCs w:val="16"/>
                <w:vertAlign w:val="subscript"/>
              </w:rPr>
              <w:t>2</w:t>
            </w:r>
            <w:r w:rsidRPr="0089303E">
              <w:rPr>
                <w:rFonts w:ascii="Calibri" w:hAnsi="Calibri" w:cs="Calibri"/>
                <w:color w:val="auto"/>
                <w:sz w:val="16"/>
                <w:szCs w:val="16"/>
              </w:rPr>
              <w:t xml:space="preserve"> implícitas y, cuando proceda, de N</w:t>
            </w:r>
            <w:r w:rsidRPr="0089303E">
              <w:rPr>
                <w:rFonts w:ascii="Calibri" w:hAnsi="Calibri" w:cs="Calibri"/>
                <w:color w:val="auto"/>
                <w:sz w:val="16"/>
                <w:szCs w:val="16"/>
                <w:vertAlign w:val="subscript"/>
              </w:rPr>
              <w:t>2</w:t>
            </w:r>
            <w:r w:rsidRPr="0089303E">
              <w:rPr>
                <w:rFonts w:ascii="Calibri" w:hAnsi="Calibri" w:cs="Calibri"/>
                <w:color w:val="auto"/>
                <w:sz w:val="16"/>
                <w:szCs w:val="16"/>
              </w:rPr>
              <w:t xml:space="preserve">O y </w:t>
            </w:r>
            <w:proofErr w:type="spellStart"/>
            <w:r w:rsidRPr="0089303E">
              <w:rPr>
                <w:rFonts w:ascii="Calibri" w:hAnsi="Calibri" w:cs="Calibri"/>
                <w:color w:val="auto"/>
                <w:sz w:val="16"/>
                <w:szCs w:val="16"/>
              </w:rPr>
              <w:t>perfluorocarburos</w:t>
            </w:r>
            <w:proofErr w:type="spellEnd"/>
            <w:r w:rsidRPr="0089303E">
              <w:rPr>
                <w:rFonts w:ascii="Calibri" w:hAnsi="Calibri" w:cs="Calibri"/>
                <w:color w:val="auto"/>
                <w:sz w:val="16"/>
                <w:szCs w:val="16"/>
              </w:rPr>
              <w:t>.</w:t>
            </w:r>
          </w:p>
          <w:p w14:paraId="6F2BDB03" w14:textId="77777777" w:rsidR="00F12FAE" w:rsidRDefault="00F12FAE" w:rsidP="0089303E">
            <w:pPr>
              <w:spacing w:after="6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De 2026 a 2035, se introduciría progresivamente un precio a las importaciones de estos sectores al tiempo que se eliminan gradualmente las asignaciones gratuitas del ETS a los productores europeos.</w:t>
            </w:r>
          </w:p>
          <w:p w14:paraId="4D00890F" w14:textId="4973C481" w:rsidR="00F12FAE" w:rsidRPr="00DB3730" w:rsidRDefault="00F12FAE" w:rsidP="00002BC2">
            <w:pPr>
              <w:pStyle w:val="Prrafodelista"/>
              <w:numPr>
                <w:ilvl w:val="0"/>
                <w:numId w:val="75"/>
              </w:numPr>
              <w:spacing w:after="60"/>
              <w:ind w:left="463"/>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6"/>
                <w:szCs w:val="16"/>
              </w:rPr>
            </w:pPr>
            <w:r w:rsidRPr="00DB3730">
              <w:rPr>
                <w:rFonts w:ascii="Calibri" w:hAnsi="Calibri" w:cs="Calibri"/>
                <w:b/>
                <w:bCs/>
                <w:color w:val="C45911" w:themeColor="accent2" w:themeShade="BF"/>
                <w:sz w:val="16"/>
                <w:szCs w:val="16"/>
              </w:rPr>
              <w:t>Reglamento de Ejecución (UE) 2023/1773</w:t>
            </w:r>
            <w:r>
              <w:rPr>
                <w:rFonts w:ascii="Calibri" w:hAnsi="Calibri" w:cs="Calibri"/>
                <w:color w:val="auto"/>
                <w:sz w:val="16"/>
                <w:szCs w:val="16"/>
              </w:rPr>
              <w:t>: establece normas de desarrollo del CBAM en lo que respecta a obligaciones de presentación de informes.</w:t>
            </w:r>
          </w:p>
        </w:tc>
      </w:tr>
      <w:tr w:rsidR="00F12FAE" w:rsidRPr="0089303E" w14:paraId="27CF96B6" w14:textId="77777777" w:rsidTr="00435E18">
        <w:trPr>
          <w:cantSplit/>
          <w:trHeight w:val="761"/>
        </w:trPr>
        <w:tc>
          <w:tcPr>
            <w:cnfStyle w:val="001000000000" w:firstRow="0" w:lastRow="0" w:firstColumn="1" w:lastColumn="0" w:oddVBand="0" w:evenVBand="0" w:oddHBand="0" w:evenHBand="0" w:firstRowFirstColumn="0" w:firstRowLastColumn="0" w:lastRowFirstColumn="0" w:lastRowLastColumn="0"/>
            <w:tcW w:w="174" w:type="pct"/>
            <w:vMerge/>
            <w:shd w:val="clear" w:color="auto" w:fill="1D3C5A"/>
            <w:textDirection w:val="btLr"/>
            <w:vAlign w:val="center"/>
          </w:tcPr>
          <w:p w14:paraId="3DFA58A4" w14:textId="77777777" w:rsidR="00F12FAE" w:rsidRPr="0089303E" w:rsidRDefault="00F12FAE" w:rsidP="0089303E">
            <w:pPr>
              <w:spacing w:after="60"/>
              <w:ind w:left="113" w:right="113"/>
              <w:jc w:val="center"/>
              <w:rPr>
                <w:rFonts w:ascii="Calibri Light" w:eastAsia="Times New Roman" w:hAnsi="Calibri Light" w:cs="Calibri Light"/>
                <w:color w:val="FFFFFF"/>
                <w:sz w:val="18"/>
                <w:szCs w:val="18"/>
                <w:lang w:eastAsia="en-GB"/>
              </w:rPr>
            </w:pPr>
          </w:p>
        </w:tc>
        <w:tc>
          <w:tcPr>
            <w:tcW w:w="652" w:type="pct"/>
            <w:shd w:val="clear" w:color="auto" w:fill="F6F9FC"/>
            <w:vAlign w:val="center"/>
          </w:tcPr>
          <w:p w14:paraId="48277381" w14:textId="570EC0E2" w:rsidR="00F12FAE" w:rsidRPr="00377592" w:rsidRDefault="00F12FAE" w:rsidP="0089303E">
            <w:pPr>
              <w:spacing w:after="60"/>
              <w:jc w:val="left"/>
              <w:cnfStyle w:val="000000000000" w:firstRow="0" w:lastRow="0" w:firstColumn="0" w:lastColumn="0" w:oddVBand="0" w:evenVBand="0" w:oddHBand="0" w:evenHBand="0" w:firstRowFirstColumn="0" w:firstRowLastColumn="0" w:lastRowFirstColumn="0" w:lastRowLastColumn="0"/>
              <w:rPr>
                <w:rFonts w:ascii="Calibri Light" w:hAnsi="Calibri Light" w:cs="Calibri Light"/>
                <w:b/>
                <w:bCs/>
                <w:sz w:val="18"/>
                <w:szCs w:val="18"/>
              </w:rPr>
            </w:pPr>
            <w:r w:rsidRPr="002B4469">
              <w:rPr>
                <w:rFonts w:ascii="Calibri Light" w:hAnsi="Calibri Light" w:cs="Calibri Light"/>
                <w:b/>
                <w:bCs/>
                <w:color w:val="25775E"/>
                <w:sz w:val="18"/>
                <w:szCs w:val="18"/>
              </w:rPr>
              <w:t>Directiva sobre diligencia debida en materia de sostenibilidad</w:t>
            </w:r>
            <w:r>
              <w:rPr>
                <w:rFonts w:ascii="Calibri Light" w:hAnsi="Calibri Light" w:cs="Calibri Light"/>
                <w:b/>
                <w:bCs/>
                <w:color w:val="25775E"/>
                <w:sz w:val="18"/>
                <w:szCs w:val="18"/>
              </w:rPr>
              <w:t xml:space="preserve"> (Directiva (UE) 2023/1791)</w:t>
            </w:r>
          </w:p>
        </w:tc>
        <w:tc>
          <w:tcPr>
            <w:tcW w:w="4174" w:type="pct"/>
            <w:gridSpan w:val="5"/>
            <w:shd w:val="clear" w:color="auto" w:fill="F6F9FC"/>
            <w:vAlign w:val="center"/>
          </w:tcPr>
          <w:p w14:paraId="2C86F33B" w14:textId="77777777" w:rsidR="00F12FAE" w:rsidRPr="0089303E" w:rsidRDefault="00F12FAE" w:rsidP="0089303E">
            <w:pPr>
              <w:spacing w:after="6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Las empresas deben:</w:t>
            </w:r>
          </w:p>
          <w:p w14:paraId="502DF054" w14:textId="77777777" w:rsidR="00F12FAE" w:rsidRPr="0089303E" w:rsidRDefault="00F12FAE" w:rsidP="00002BC2">
            <w:pPr>
              <w:numPr>
                <w:ilvl w:val="0"/>
                <w:numId w:val="41"/>
              </w:numPr>
              <w:spacing w:after="60"/>
              <w:ind w:left="465"/>
              <w:contextualSpacing/>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Realizar evaluaciones periódicas sobre la efectivad de las medidas de diligencia debida suyas, de sus subsidiarias y de las entidades con las que mantiene relaciones comerciales.</w:t>
            </w:r>
          </w:p>
          <w:p w14:paraId="0D69B4D0" w14:textId="77777777" w:rsidR="00F12FAE" w:rsidRPr="0089303E" w:rsidRDefault="00F12FAE" w:rsidP="00002BC2">
            <w:pPr>
              <w:numPr>
                <w:ilvl w:val="0"/>
                <w:numId w:val="41"/>
              </w:numPr>
              <w:spacing w:after="60"/>
              <w:ind w:left="465"/>
              <w:contextualSpacing/>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Incorporar la diligencia debida a sus estrategias.</w:t>
            </w:r>
          </w:p>
          <w:p w14:paraId="2B4A516D" w14:textId="77777777" w:rsidR="00F12FAE" w:rsidRPr="0089303E" w:rsidRDefault="00F12FAE" w:rsidP="0089303E">
            <w:pPr>
              <w:spacing w:after="6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La directiva aplicará a empresas:</w:t>
            </w:r>
          </w:p>
          <w:p w14:paraId="5D228F79" w14:textId="77777777" w:rsidR="00F12FAE" w:rsidRPr="0089303E" w:rsidRDefault="00F12FAE" w:rsidP="00002BC2">
            <w:pPr>
              <w:numPr>
                <w:ilvl w:val="0"/>
                <w:numId w:val="42"/>
              </w:numPr>
              <w:spacing w:after="60"/>
              <w:ind w:left="465"/>
              <w:contextualSpacing/>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De la UE de más de 500 empleados y 150 M€ de facturación, a partir de 2 años tras su implantación.</w:t>
            </w:r>
          </w:p>
          <w:p w14:paraId="11E6FCBC" w14:textId="77777777" w:rsidR="00F12FAE" w:rsidRPr="0089303E" w:rsidRDefault="00F12FAE" w:rsidP="00002BC2">
            <w:pPr>
              <w:numPr>
                <w:ilvl w:val="0"/>
                <w:numId w:val="42"/>
              </w:numPr>
              <w:spacing w:after="60"/>
              <w:ind w:left="465"/>
              <w:contextualSpacing/>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De más de 250 empleados y 40 M€ de facturación si al menos el 50% de su facturación se produce en sectores de alto impacto, a partir de 5 años tras su implementación.</w:t>
            </w:r>
          </w:p>
          <w:p w14:paraId="657A81BA" w14:textId="7A6901E0" w:rsidR="00F12FAE" w:rsidRPr="007817E4" w:rsidRDefault="00F12FAE" w:rsidP="007817E4">
            <w:pPr>
              <w:spacing w:after="6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Que no sean de la UE, pero operen aquí y cumplan con los umbrales mencionados.</w:t>
            </w:r>
            <w:r w:rsidRPr="007817E4">
              <w:rPr>
                <w:rFonts w:ascii="Calibri" w:hAnsi="Calibri" w:cs="Calibri"/>
                <w:color w:val="auto"/>
                <w:sz w:val="16"/>
                <w:szCs w:val="16"/>
              </w:rPr>
              <w:t xml:space="preserve"> </w:t>
            </w:r>
          </w:p>
        </w:tc>
      </w:tr>
      <w:tr w:rsidR="00F12FAE" w:rsidRPr="0089303E" w14:paraId="131A2961" w14:textId="77777777" w:rsidTr="00435E18">
        <w:trPr>
          <w:cnfStyle w:val="000000100000" w:firstRow="0" w:lastRow="0" w:firstColumn="0" w:lastColumn="0" w:oddVBand="0" w:evenVBand="0" w:oddHBand="1" w:evenHBand="0" w:firstRowFirstColumn="0" w:firstRowLastColumn="0" w:lastRowFirstColumn="0" w:lastRowLastColumn="0"/>
          <w:trHeight w:val="761"/>
        </w:trPr>
        <w:tc>
          <w:tcPr>
            <w:cnfStyle w:val="001000000000" w:firstRow="0" w:lastRow="0" w:firstColumn="1" w:lastColumn="0" w:oddVBand="0" w:evenVBand="0" w:oddHBand="0" w:evenHBand="0" w:firstRowFirstColumn="0" w:firstRowLastColumn="0" w:lastRowFirstColumn="0" w:lastRowLastColumn="0"/>
            <w:tcW w:w="174" w:type="pct"/>
            <w:vMerge/>
            <w:shd w:val="clear" w:color="auto" w:fill="1D3C5A"/>
          </w:tcPr>
          <w:p w14:paraId="61D58B4C" w14:textId="77777777" w:rsidR="00F12FAE" w:rsidRPr="0089303E" w:rsidRDefault="00F12FAE" w:rsidP="0089303E">
            <w:pPr>
              <w:spacing w:after="60"/>
              <w:jc w:val="center"/>
              <w:rPr>
                <w:rFonts w:ascii="Calibri Light" w:hAnsi="Calibri Light" w:cs="Calibri Light"/>
                <w:color w:val="FFFFFF"/>
                <w:sz w:val="16"/>
                <w:szCs w:val="16"/>
              </w:rPr>
            </w:pPr>
          </w:p>
        </w:tc>
        <w:tc>
          <w:tcPr>
            <w:tcW w:w="652" w:type="pct"/>
            <w:shd w:val="clear" w:color="auto" w:fill="auto"/>
            <w:vAlign w:val="center"/>
          </w:tcPr>
          <w:p w14:paraId="584DD1E0" w14:textId="5BED62D2" w:rsidR="00F12FAE" w:rsidRPr="00377592" w:rsidRDefault="00F12FAE" w:rsidP="0089303E">
            <w:pPr>
              <w:spacing w:after="60"/>
              <w:jc w:val="left"/>
              <w:cnfStyle w:val="000000100000" w:firstRow="0" w:lastRow="0" w:firstColumn="0" w:lastColumn="0" w:oddVBand="0" w:evenVBand="0" w:oddHBand="1" w:evenHBand="0" w:firstRowFirstColumn="0" w:firstRowLastColumn="0" w:lastRowFirstColumn="0" w:lastRowLastColumn="0"/>
              <w:rPr>
                <w:rFonts w:ascii="Calibri Light" w:hAnsi="Calibri Light" w:cs="Calibri Light"/>
                <w:b/>
                <w:bCs/>
                <w:sz w:val="18"/>
                <w:szCs w:val="18"/>
              </w:rPr>
            </w:pPr>
            <w:r>
              <w:rPr>
                <w:rFonts w:ascii="Calibri Light" w:hAnsi="Calibri Light" w:cs="Calibri Light"/>
                <w:b/>
                <w:bCs/>
                <w:sz w:val="18"/>
                <w:szCs w:val="18"/>
              </w:rPr>
              <w:t xml:space="preserve">EU </w:t>
            </w:r>
            <w:r w:rsidRPr="00377592">
              <w:rPr>
                <w:rFonts w:ascii="Calibri Light" w:hAnsi="Calibri Light" w:cs="Calibri Light"/>
                <w:b/>
                <w:bCs/>
                <w:sz w:val="18"/>
                <w:szCs w:val="18"/>
              </w:rPr>
              <w:t>ETS</w:t>
            </w:r>
          </w:p>
        </w:tc>
        <w:tc>
          <w:tcPr>
            <w:tcW w:w="869" w:type="pct"/>
            <w:shd w:val="clear" w:color="auto" w:fill="auto"/>
            <w:vAlign w:val="center"/>
          </w:tcPr>
          <w:p w14:paraId="0BC1BCF8" w14:textId="77777777" w:rsidR="00F12FAE" w:rsidRPr="007817E4" w:rsidRDefault="00F12FAE" w:rsidP="0089303E">
            <w:pPr>
              <w:spacing w:after="60"/>
              <w:jc w:val="left"/>
              <w:cnfStyle w:val="000000100000" w:firstRow="0" w:lastRow="0" w:firstColumn="0" w:lastColumn="0" w:oddVBand="0" w:evenVBand="0" w:oddHBand="1" w:evenHBand="0" w:firstRowFirstColumn="0" w:firstRowLastColumn="0" w:lastRowFirstColumn="0" w:lastRowLastColumn="0"/>
              <w:rPr>
                <w:rFonts w:ascii="Calibri" w:hAnsi="Calibri" w:cs="Calibri"/>
                <w:b/>
                <w:bCs/>
                <w:color w:val="C45911" w:themeColor="accent2" w:themeShade="BF"/>
                <w:sz w:val="16"/>
                <w:szCs w:val="16"/>
              </w:rPr>
            </w:pPr>
            <w:r w:rsidRPr="007817E4">
              <w:rPr>
                <w:rFonts w:ascii="Calibri" w:hAnsi="Calibri" w:cs="Calibri"/>
                <w:b/>
                <w:bCs/>
                <w:color w:val="C45911" w:themeColor="accent2" w:themeShade="BF"/>
                <w:sz w:val="16"/>
                <w:szCs w:val="16"/>
              </w:rPr>
              <w:t>Reglamento de Ejecución (UE) 2023/2441</w:t>
            </w:r>
          </w:p>
          <w:p w14:paraId="69D53C7A" w14:textId="77777777" w:rsidR="00F12FAE" w:rsidRDefault="00F12FAE" w:rsidP="00002BC2">
            <w:pPr>
              <w:pStyle w:val="Prrafodelista"/>
              <w:numPr>
                <w:ilvl w:val="0"/>
                <w:numId w:val="77"/>
              </w:numPr>
              <w:spacing w:after="60"/>
              <w:ind w:left="321"/>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6"/>
                <w:szCs w:val="16"/>
              </w:rPr>
            </w:pPr>
            <w:r>
              <w:rPr>
                <w:rFonts w:ascii="Calibri" w:hAnsi="Calibri" w:cs="Calibri"/>
                <w:color w:val="auto"/>
                <w:sz w:val="16"/>
                <w:szCs w:val="16"/>
              </w:rPr>
              <w:lastRenderedPageBreak/>
              <w:t>E</w:t>
            </w:r>
            <w:r w:rsidRPr="007817E4">
              <w:rPr>
                <w:rFonts w:ascii="Calibri" w:hAnsi="Calibri" w:cs="Calibri"/>
                <w:color w:val="auto"/>
                <w:sz w:val="16"/>
                <w:szCs w:val="16"/>
              </w:rPr>
              <w:t xml:space="preserve">stablece normas para la aplicación </w:t>
            </w:r>
            <w:r>
              <w:rPr>
                <w:rFonts w:ascii="Calibri" w:hAnsi="Calibri" w:cs="Calibri"/>
                <w:color w:val="auto"/>
                <w:sz w:val="16"/>
                <w:szCs w:val="16"/>
              </w:rPr>
              <w:t>del</w:t>
            </w:r>
            <w:r w:rsidRPr="007817E4">
              <w:rPr>
                <w:rFonts w:ascii="Calibri" w:hAnsi="Calibri" w:cs="Calibri"/>
                <w:color w:val="auto"/>
                <w:sz w:val="16"/>
                <w:szCs w:val="16"/>
              </w:rPr>
              <w:t xml:space="preserve"> EU ETS en lo que respecta al contenido y el formato de los planes de neutralidad climática necesarios para que se concedan asignaciones gratuitas de derechos de emisión</w:t>
            </w:r>
          </w:p>
          <w:p w14:paraId="3B7F06EF" w14:textId="77777777" w:rsidR="00F12FAE" w:rsidRPr="0028574C" w:rsidRDefault="00F12FAE" w:rsidP="0028574C">
            <w:pPr>
              <w:spacing w:after="60"/>
              <w:jc w:val="left"/>
              <w:cnfStyle w:val="000000100000" w:firstRow="0" w:lastRow="0" w:firstColumn="0" w:lastColumn="0" w:oddVBand="0" w:evenVBand="0" w:oddHBand="1" w:evenHBand="0" w:firstRowFirstColumn="0" w:firstRowLastColumn="0" w:lastRowFirstColumn="0" w:lastRowLastColumn="0"/>
              <w:rPr>
                <w:rFonts w:ascii="Calibri" w:hAnsi="Calibri" w:cs="Calibri"/>
                <w:b/>
                <w:bCs/>
                <w:color w:val="C45911" w:themeColor="accent2" w:themeShade="BF"/>
                <w:sz w:val="16"/>
                <w:szCs w:val="16"/>
              </w:rPr>
            </w:pPr>
            <w:r w:rsidRPr="0028574C">
              <w:rPr>
                <w:rFonts w:ascii="Calibri" w:hAnsi="Calibri" w:cs="Calibri"/>
                <w:b/>
                <w:bCs/>
                <w:color w:val="C45911" w:themeColor="accent2" w:themeShade="BF"/>
                <w:sz w:val="16"/>
                <w:szCs w:val="16"/>
              </w:rPr>
              <w:t>Nuevas normas de seguimiento</w:t>
            </w:r>
          </w:p>
          <w:p w14:paraId="4477F3A2" w14:textId="77777777" w:rsidR="00F12FAE" w:rsidRDefault="00F12FAE" w:rsidP="00002BC2">
            <w:pPr>
              <w:pStyle w:val="Prrafodelista"/>
              <w:numPr>
                <w:ilvl w:val="0"/>
                <w:numId w:val="77"/>
              </w:numPr>
              <w:spacing w:after="60"/>
              <w:ind w:left="463"/>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6"/>
                <w:szCs w:val="16"/>
              </w:rPr>
            </w:pPr>
            <w:r>
              <w:rPr>
                <w:rFonts w:ascii="Calibri" w:hAnsi="Calibri" w:cs="Calibri"/>
                <w:color w:val="auto"/>
                <w:sz w:val="16"/>
                <w:szCs w:val="16"/>
              </w:rPr>
              <w:t>C</w:t>
            </w:r>
            <w:r w:rsidRPr="0028574C">
              <w:rPr>
                <w:rFonts w:ascii="Calibri" w:hAnsi="Calibri" w:cs="Calibri"/>
                <w:color w:val="auto"/>
                <w:sz w:val="16"/>
                <w:szCs w:val="16"/>
              </w:rPr>
              <w:t>alificación de cero emisiones para combustibles renovables no biológicos, reciclados y sintéticos con bajo contenido de carbono, siempre que cumplan con criterios estrictos de sostenibilidad</w:t>
            </w:r>
          </w:p>
          <w:p w14:paraId="25C49134" w14:textId="77777777" w:rsidR="00F12FAE" w:rsidRPr="0028574C" w:rsidRDefault="00F12FAE" w:rsidP="00002BC2">
            <w:pPr>
              <w:pStyle w:val="Prrafodelista"/>
              <w:numPr>
                <w:ilvl w:val="0"/>
                <w:numId w:val="77"/>
              </w:numPr>
              <w:spacing w:after="60"/>
              <w:ind w:left="463"/>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6"/>
                <w:szCs w:val="16"/>
              </w:rPr>
            </w:pPr>
            <w:r>
              <w:rPr>
                <w:rFonts w:ascii="Calibri" w:hAnsi="Calibri" w:cs="Calibri"/>
                <w:color w:val="auto"/>
                <w:sz w:val="16"/>
                <w:szCs w:val="16"/>
              </w:rPr>
              <w:t>N</w:t>
            </w:r>
            <w:r w:rsidRPr="0028574C">
              <w:rPr>
                <w:rFonts w:ascii="Calibri" w:hAnsi="Calibri" w:cs="Calibri"/>
                <w:color w:val="auto"/>
                <w:sz w:val="16"/>
                <w:szCs w:val="16"/>
              </w:rPr>
              <w:t>uevos requisitos para el monitoreo de combustibles alternativos de aviación y efectos no relacionados con CO</w:t>
            </w:r>
            <w:r w:rsidRPr="0028574C">
              <w:rPr>
                <w:rFonts w:ascii="Calibri" w:hAnsi="Calibri" w:cs="Calibri"/>
                <w:color w:val="auto"/>
                <w:sz w:val="16"/>
                <w:szCs w:val="16"/>
                <w:vertAlign w:val="subscript"/>
              </w:rPr>
              <w:t>2</w:t>
            </w:r>
          </w:p>
          <w:p w14:paraId="54C6B907" w14:textId="77777777" w:rsidR="00F12FAE" w:rsidRPr="0028574C" w:rsidRDefault="00F12FAE" w:rsidP="0028574C">
            <w:pPr>
              <w:spacing w:after="60"/>
              <w:jc w:val="left"/>
              <w:cnfStyle w:val="000000100000" w:firstRow="0" w:lastRow="0" w:firstColumn="0" w:lastColumn="0" w:oddVBand="0" w:evenVBand="0" w:oddHBand="1" w:evenHBand="0" w:firstRowFirstColumn="0" w:firstRowLastColumn="0" w:lastRowFirstColumn="0" w:lastRowLastColumn="0"/>
              <w:rPr>
                <w:rFonts w:ascii="Calibri" w:hAnsi="Calibri" w:cs="Calibri"/>
                <w:b/>
                <w:bCs/>
                <w:color w:val="auto"/>
                <w:sz w:val="16"/>
                <w:szCs w:val="16"/>
              </w:rPr>
            </w:pPr>
            <w:r w:rsidRPr="0028574C">
              <w:rPr>
                <w:rFonts w:ascii="Calibri" w:hAnsi="Calibri" w:cs="Calibri"/>
                <w:b/>
                <w:bCs/>
                <w:color w:val="C45911" w:themeColor="accent2" w:themeShade="BF"/>
                <w:sz w:val="16"/>
                <w:szCs w:val="16"/>
              </w:rPr>
              <w:t>Reglamento Seguimiento y Notificación del Sistema de Comercio de derechos de Emisión</w:t>
            </w:r>
          </w:p>
          <w:p w14:paraId="3C797476" w14:textId="5CFD2508" w:rsidR="00F12FAE" w:rsidRPr="0028574C" w:rsidRDefault="00F12FAE" w:rsidP="00002BC2">
            <w:pPr>
              <w:pStyle w:val="Prrafodelista"/>
              <w:numPr>
                <w:ilvl w:val="0"/>
                <w:numId w:val="79"/>
              </w:numPr>
              <w:spacing w:after="60"/>
              <w:ind w:left="463"/>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6"/>
                <w:szCs w:val="16"/>
              </w:rPr>
            </w:pPr>
            <w:r>
              <w:rPr>
                <w:rFonts w:ascii="Calibri" w:hAnsi="Calibri" w:cs="Calibri"/>
                <w:color w:val="auto"/>
                <w:sz w:val="16"/>
                <w:szCs w:val="16"/>
              </w:rPr>
              <w:t>M</w:t>
            </w:r>
            <w:r w:rsidRPr="0028574C">
              <w:rPr>
                <w:rFonts w:ascii="Calibri" w:hAnsi="Calibri" w:cs="Calibri"/>
                <w:color w:val="auto"/>
                <w:sz w:val="16"/>
                <w:szCs w:val="16"/>
              </w:rPr>
              <w:t>ejora</w:t>
            </w:r>
            <w:r>
              <w:rPr>
                <w:rFonts w:ascii="Calibri" w:hAnsi="Calibri" w:cs="Calibri"/>
                <w:color w:val="auto"/>
                <w:sz w:val="16"/>
                <w:szCs w:val="16"/>
              </w:rPr>
              <w:t xml:space="preserve"> de</w:t>
            </w:r>
            <w:r w:rsidRPr="0028574C">
              <w:rPr>
                <w:rFonts w:ascii="Calibri" w:hAnsi="Calibri" w:cs="Calibri"/>
                <w:color w:val="auto"/>
                <w:sz w:val="16"/>
                <w:szCs w:val="16"/>
              </w:rPr>
              <w:t xml:space="preserve"> las reglas para combustibles de biomasa y combustibles sostenibles de aviación, garantizando el cumplimiento de criterios de sostenibilidad y evitando el doble conteo de emisiones</w:t>
            </w:r>
            <w:r>
              <w:rPr>
                <w:rFonts w:ascii="Calibri" w:hAnsi="Calibri" w:cs="Calibri"/>
                <w:color w:val="auto"/>
                <w:sz w:val="16"/>
                <w:szCs w:val="16"/>
              </w:rPr>
              <w:t>.</w:t>
            </w:r>
          </w:p>
        </w:tc>
        <w:tc>
          <w:tcPr>
            <w:tcW w:w="740" w:type="pct"/>
            <w:shd w:val="clear" w:color="auto" w:fill="auto"/>
            <w:vAlign w:val="center"/>
          </w:tcPr>
          <w:p w14:paraId="1A75B6E6" w14:textId="77777777" w:rsidR="00F12FAE" w:rsidRPr="0089303E" w:rsidRDefault="00F12FAE" w:rsidP="0089303E">
            <w:pPr>
              <w:spacing w:after="6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6"/>
                <w:szCs w:val="16"/>
              </w:rPr>
            </w:pPr>
          </w:p>
        </w:tc>
        <w:tc>
          <w:tcPr>
            <w:tcW w:w="870" w:type="pct"/>
            <w:shd w:val="clear" w:color="auto" w:fill="auto"/>
            <w:vAlign w:val="center"/>
          </w:tcPr>
          <w:p w14:paraId="30F65BD7" w14:textId="77777777" w:rsidR="00F12FAE" w:rsidRPr="0089303E" w:rsidRDefault="00F12FAE" w:rsidP="00002BC2">
            <w:pPr>
              <w:numPr>
                <w:ilvl w:val="0"/>
                <w:numId w:val="50"/>
              </w:numPr>
              <w:spacing w:after="60"/>
              <w:ind w:left="466"/>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 xml:space="preserve">Las emisiones de GEI deberán reducirse un </w:t>
            </w:r>
            <w:r w:rsidRPr="0089303E">
              <w:rPr>
                <w:rFonts w:ascii="Calibri" w:hAnsi="Calibri" w:cs="Calibri"/>
                <w:b/>
                <w:bCs/>
                <w:color w:val="auto"/>
                <w:sz w:val="16"/>
                <w:szCs w:val="16"/>
              </w:rPr>
              <w:t>62% para 2030</w:t>
            </w:r>
            <w:r w:rsidRPr="0089303E">
              <w:rPr>
                <w:rFonts w:ascii="Calibri" w:hAnsi="Calibri" w:cs="Calibri"/>
                <w:color w:val="auto"/>
                <w:sz w:val="16"/>
                <w:szCs w:val="16"/>
              </w:rPr>
              <w:t>, respecto a 2005.</w:t>
            </w:r>
          </w:p>
          <w:p w14:paraId="762E091D" w14:textId="77777777" w:rsidR="00F12FAE" w:rsidRPr="0089303E" w:rsidRDefault="00F12FAE" w:rsidP="00002BC2">
            <w:pPr>
              <w:numPr>
                <w:ilvl w:val="0"/>
                <w:numId w:val="50"/>
              </w:numPr>
              <w:spacing w:after="60"/>
              <w:ind w:left="466"/>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lastRenderedPageBreak/>
              <w:t xml:space="preserve">Se aprueba la eliminación progresiva de los </w:t>
            </w:r>
            <w:proofErr w:type="spellStart"/>
            <w:r w:rsidRPr="0089303E">
              <w:rPr>
                <w:rFonts w:ascii="Calibri" w:hAnsi="Calibri" w:cs="Calibri"/>
                <w:color w:val="auto"/>
                <w:sz w:val="16"/>
                <w:szCs w:val="16"/>
              </w:rPr>
              <w:t>EUAs</w:t>
            </w:r>
            <w:proofErr w:type="spellEnd"/>
            <w:r w:rsidRPr="0089303E">
              <w:rPr>
                <w:rFonts w:ascii="Calibri" w:hAnsi="Calibri" w:cs="Calibri"/>
                <w:color w:val="auto"/>
                <w:sz w:val="16"/>
                <w:szCs w:val="16"/>
              </w:rPr>
              <w:t xml:space="preserve"> gratuitos de la siguiente manera: </w:t>
            </w:r>
            <w:r w:rsidRPr="0089303E">
              <w:rPr>
                <w:rFonts w:ascii="Calibri" w:hAnsi="Calibri" w:cs="Calibri"/>
                <w:b/>
                <w:bCs/>
                <w:color w:val="auto"/>
                <w:sz w:val="16"/>
                <w:szCs w:val="16"/>
              </w:rPr>
              <w:t>25% para 2024, 50% para 2025 y 100% para 2026</w:t>
            </w:r>
            <w:r w:rsidRPr="0089303E">
              <w:rPr>
                <w:rFonts w:ascii="Calibri" w:hAnsi="Calibri" w:cs="Calibri"/>
                <w:color w:val="auto"/>
                <w:sz w:val="16"/>
                <w:szCs w:val="16"/>
              </w:rPr>
              <w:t>.</w:t>
            </w:r>
          </w:p>
          <w:p w14:paraId="5F209EB6" w14:textId="77777777" w:rsidR="00F12FAE" w:rsidRPr="0089303E" w:rsidRDefault="00F12FAE" w:rsidP="00002BC2">
            <w:pPr>
              <w:numPr>
                <w:ilvl w:val="0"/>
                <w:numId w:val="50"/>
              </w:numPr>
              <w:spacing w:after="60"/>
              <w:ind w:left="466"/>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 xml:space="preserve">Se transferirán 5 millones de </w:t>
            </w:r>
            <w:proofErr w:type="spellStart"/>
            <w:r w:rsidRPr="0089303E">
              <w:rPr>
                <w:rFonts w:ascii="Calibri" w:hAnsi="Calibri" w:cs="Calibri"/>
                <w:color w:val="auto"/>
                <w:sz w:val="16"/>
                <w:szCs w:val="16"/>
              </w:rPr>
              <w:t>EUAs</w:t>
            </w:r>
            <w:proofErr w:type="spellEnd"/>
            <w:r w:rsidRPr="0089303E">
              <w:rPr>
                <w:rFonts w:ascii="Calibri" w:hAnsi="Calibri" w:cs="Calibri"/>
                <w:color w:val="auto"/>
                <w:sz w:val="16"/>
                <w:szCs w:val="16"/>
              </w:rPr>
              <w:t xml:space="preserve"> del sector de la aviación al Fondo de Innovación.</w:t>
            </w:r>
          </w:p>
          <w:p w14:paraId="01758BA8" w14:textId="77777777" w:rsidR="00F12FAE" w:rsidRPr="0089303E" w:rsidRDefault="00F12FAE" w:rsidP="00002BC2">
            <w:pPr>
              <w:numPr>
                <w:ilvl w:val="0"/>
                <w:numId w:val="50"/>
              </w:numPr>
              <w:spacing w:after="60"/>
              <w:ind w:left="466"/>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 xml:space="preserve">Reserva de 20 M€ de </w:t>
            </w:r>
            <w:proofErr w:type="spellStart"/>
            <w:r w:rsidRPr="0089303E">
              <w:rPr>
                <w:rFonts w:ascii="Calibri" w:hAnsi="Calibri" w:cs="Calibri"/>
                <w:color w:val="auto"/>
                <w:sz w:val="16"/>
                <w:szCs w:val="16"/>
              </w:rPr>
              <w:t>EUAs</w:t>
            </w:r>
            <w:proofErr w:type="spellEnd"/>
            <w:r w:rsidRPr="0089303E">
              <w:rPr>
                <w:rFonts w:ascii="Calibri" w:hAnsi="Calibri" w:cs="Calibri"/>
                <w:color w:val="auto"/>
                <w:sz w:val="16"/>
                <w:szCs w:val="16"/>
              </w:rPr>
              <w:t xml:space="preserve">, </w:t>
            </w:r>
            <w:r w:rsidRPr="0089303E">
              <w:rPr>
                <w:rFonts w:ascii="Calibri" w:hAnsi="Calibri" w:cs="Calibri"/>
                <w:b/>
                <w:bCs/>
                <w:color w:val="auto"/>
                <w:sz w:val="16"/>
                <w:szCs w:val="16"/>
              </w:rPr>
              <w:t>entre el 1 de enero de 2024 y el 31 de diciembre de 2030</w:t>
            </w:r>
            <w:r w:rsidRPr="0089303E">
              <w:rPr>
                <w:rFonts w:ascii="Calibri" w:hAnsi="Calibri" w:cs="Calibri"/>
                <w:color w:val="auto"/>
                <w:sz w:val="16"/>
                <w:szCs w:val="16"/>
              </w:rPr>
              <w:t>, para los operadores que incrementen el uso de CAS.</w:t>
            </w:r>
          </w:p>
          <w:p w14:paraId="157B4FDA" w14:textId="77777777" w:rsidR="00F12FAE" w:rsidRPr="0089303E" w:rsidRDefault="00F12FAE" w:rsidP="0089303E">
            <w:pPr>
              <w:spacing w:after="60"/>
              <w:ind w:left="106"/>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Para garantizar el suministro de combustibles CAS:</w:t>
            </w:r>
          </w:p>
          <w:p w14:paraId="36B30AEE" w14:textId="77777777" w:rsidR="00F12FAE" w:rsidRPr="0089303E" w:rsidRDefault="00F12FAE" w:rsidP="00002BC2">
            <w:pPr>
              <w:numPr>
                <w:ilvl w:val="0"/>
                <w:numId w:val="50"/>
              </w:numPr>
              <w:spacing w:after="60"/>
              <w:ind w:left="466"/>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En las islas pequeñas, aeropuertos pequeños y regiones ultraperiféricas, se podrá cubrir el 100% de la diferencia de precios entre el queroseno y los combustibles sostenibles con los derechos de emisión de los CAS.</w:t>
            </w:r>
          </w:p>
          <w:p w14:paraId="0DB71C4D" w14:textId="77777777" w:rsidR="00F12FAE" w:rsidRPr="0089303E" w:rsidRDefault="00F12FAE" w:rsidP="00002BC2">
            <w:pPr>
              <w:numPr>
                <w:ilvl w:val="0"/>
                <w:numId w:val="50"/>
              </w:numPr>
              <w:spacing w:after="60"/>
              <w:ind w:left="466"/>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En el resto de aeropuertos, la cobertura será:</w:t>
            </w:r>
          </w:p>
          <w:p w14:paraId="44C56ADF" w14:textId="77777777" w:rsidR="00F12FAE" w:rsidRPr="0089303E" w:rsidRDefault="00F12FAE" w:rsidP="00002BC2">
            <w:pPr>
              <w:numPr>
                <w:ilvl w:val="1"/>
                <w:numId w:val="50"/>
              </w:numPr>
              <w:spacing w:after="60"/>
              <w:ind w:left="1033"/>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95% para los combustibles renovables de origen no biológico.</w:t>
            </w:r>
          </w:p>
          <w:p w14:paraId="64A1CFFD" w14:textId="77777777" w:rsidR="00F12FAE" w:rsidRPr="0089303E" w:rsidRDefault="00F12FAE" w:rsidP="00002BC2">
            <w:pPr>
              <w:numPr>
                <w:ilvl w:val="1"/>
                <w:numId w:val="50"/>
              </w:numPr>
              <w:spacing w:after="60"/>
              <w:ind w:left="1033"/>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70% para los biocombustibles no avanzados.</w:t>
            </w:r>
          </w:p>
          <w:p w14:paraId="2EB51B17" w14:textId="77777777" w:rsidR="00F12FAE" w:rsidRPr="0089303E" w:rsidRDefault="00F12FAE" w:rsidP="00002BC2">
            <w:pPr>
              <w:numPr>
                <w:ilvl w:val="1"/>
                <w:numId w:val="50"/>
              </w:numPr>
              <w:spacing w:after="60"/>
              <w:ind w:left="1033"/>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50% para otros combustibles contemplados.</w:t>
            </w:r>
          </w:p>
          <w:p w14:paraId="74DD16B2" w14:textId="77777777" w:rsidR="00F12FAE" w:rsidRPr="0089303E" w:rsidRDefault="00F12FAE" w:rsidP="0089303E">
            <w:pPr>
              <w:spacing w:after="6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6"/>
                <w:szCs w:val="16"/>
              </w:rPr>
            </w:pPr>
            <w:r w:rsidRPr="0089303E">
              <w:rPr>
                <w:rFonts w:ascii="Calibri" w:hAnsi="Calibri" w:cs="Calibri"/>
                <w:b/>
                <w:bCs/>
                <w:color w:val="auto"/>
                <w:sz w:val="16"/>
                <w:szCs w:val="16"/>
              </w:rPr>
              <w:t>A partir del 2025</w:t>
            </w:r>
            <w:r w:rsidRPr="0089303E">
              <w:rPr>
                <w:rFonts w:ascii="Calibri" w:hAnsi="Calibri" w:cs="Calibri"/>
                <w:color w:val="auto"/>
                <w:sz w:val="16"/>
                <w:szCs w:val="16"/>
              </w:rPr>
              <w:t>, la CE establecerá un marco de seguimiento, notificación y verificación de las emisiones distintas del CO</w:t>
            </w:r>
            <w:r w:rsidRPr="0089303E">
              <w:rPr>
                <w:rFonts w:ascii="Calibri" w:hAnsi="Calibri" w:cs="Calibri"/>
                <w:color w:val="auto"/>
                <w:sz w:val="16"/>
                <w:szCs w:val="16"/>
                <w:vertAlign w:val="subscript"/>
              </w:rPr>
              <w:t>2</w:t>
            </w:r>
            <w:r w:rsidRPr="0089303E">
              <w:rPr>
                <w:rFonts w:ascii="Calibri" w:hAnsi="Calibri" w:cs="Calibri"/>
                <w:color w:val="auto"/>
                <w:sz w:val="16"/>
                <w:szCs w:val="16"/>
              </w:rPr>
              <w:t>.</w:t>
            </w:r>
          </w:p>
          <w:p w14:paraId="34B573AB" w14:textId="7AF188F2" w:rsidR="00F12FAE" w:rsidRPr="00A55766" w:rsidRDefault="00F12FAE" w:rsidP="00002BC2">
            <w:pPr>
              <w:numPr>
                <w:ilvl w:val="0"/>
                <w:numId w:val="51"/>
              </w:numPr>
              <w:spacing w:after="60"/>
              <w:ind w:left="466"/>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 xml:space="preserve">Tras realizar una evaluación en 2027, </w:t>
            </w:r>
            <w:r w:rsidRPr="0089303E">
              <w:rPr>
                <w:rFonts w:ascii="Calibri" w:hAnsi="Calibri" w:cs="Calibri"/>
                <w:b/>
                <w:bCs/>
                <w:color w:val="auto"/>
                <w:sz w:val="16"/>
                <w:szCs w:val="16"/>
              </w:rPr>
              <w:t xml:space="preserve">se llevará a cabo una </w:t>
            </w:r>
            <w:r w:rsidRPr="0089303E">
              <w:rPr>
                <w:rFonts w:ascii="Calibri" w:hAnsi="Calibri" w:cs="Calibri"/>
                <w:b/>
                <w:bCs/>
                <w:color w:val="auto"/>
                <w:sz w:val="16"/>
                <w:szCs w:val="16"/>
              </w:rPr>
              <w:lastRenderedPageBreak/>
              <w:t>propuesta legal en 2028</w:t>
            </w:r>
            <w:r w:rsidRPr="0089303E">
              <w:rPr>
                <w:rFonts w:ascii="Calibri" w:hAnsi="Calibri" w:cs="Calibri"/>
                <w:color w:val="auto"/>
                <w:sz w:val="16"/>
                <w:szCs w:val="16"/>
              </w:rPr>
              <w:t xml:space="preserve"> para para incluir estas emisiones en el ámbito del EU ETS.</w:t>
            </w:r>
          </w:p>
          <w:p w14:paraId="43094F84" w14:textId="49AAB383" w:rsidR="00F12FAE" w:rsidRPr="0001004B" w:rsidRDefault="00F12FAE" w:rsidP="0001004B">
            <w:pPr>
              <w:spacing w:after="60"/>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s="Calibri"/>
                <w:b/>
                <w:bCs/>
                <w:color w:val="auto"/>
                <w:sz w:val="16"/>
                <w:szCs w:val="16"/>
              </w:rPr>
            </w:pPr>
            <w:r w:rsidRPr="0001004B">
              <w:rPr>
                <w:rFonts w:ascii="Calibri" w:hAnsi="Calibri" w:cs="Calibri"/>
                <w:b/>
                <w:bCs/>
                <w:color w:val="C45911" w:themeColor="accent2" w:themeShade="BF"/>
                <w:sz w:val="16"/>
                <w:szCs w:val="16"/>
              </w:rPr>
              <w:t>Reglamento de Ejecución (UE) 2024/622</w:t>
            </w:r>
          </w:p>
          <w:p w14:paraId="10788085" w14:textId="3C5ED196" w:rsidR="00F12FAE" w:rsidRPr="00A55766" w:rsidRDefault="00F12FAE" w:rsidP="00002BC2">
            <w:pPr>
              <w:pStyle w:val="Prrafodelista"/>
              <w:numPr>
                <w:ilvl w:val="0"/>
                <w:numId w:val="80"/>
              </w:numPr>
              <w:spacing w:after="60"/>
              <w:ind w:left="463"/>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6"/>
                <w:szCs w:val="16"/>
              </w:rPr>
            </w:pPr>
            <w:r>
              <w:rPr>
                <w:rFonts w:ascii="Calibri" w:hAnsi="Calibri" w:cs="Calibri"/>
                <w:color w:val="auto"/>
                <w:sz w:val="16"/>
                <w:szCs w:val="16"/>
              </w:rPr>
              <w:t>E</w:t>
            </w:r>
            <w:r w:rsidRPr="0001004B">
              <w:rPr>
                <w:rFonts w:ascii="Calibri" w:hAnsi="Calibri" w:cs="Calibri"/>
                <w:color w:val="auto"/>
                <w:sz w:val="16"/>
                <w:szCs w:val="16"/>
              </w:rPr>
              <w:t>stablece la lista de estados que se considera que están aplicando el Plan CORSIA a efectos de la Directiva 2003/87/CE del Parlamento Europeo y del Consejo respecto a las emisiones de 2023</w:t>
            </w:r>
          </w:p>
          <w:p w14:paraId="16C12017" w14:textId="77777777" w:rsidR="00F12FAE" w:rsidRPr="00A55766" w:rsidRDefault="00F12FAE" w:rsidP="00A55766">
            <w:pPr>
              <w:spacing w:after="60"/>
              <w:jc w:val="left"/>
              <w:cnfStyle w:val="000000100000" w:firstRow="0" w:lastRow="0" w:firstColumn="0" w:lastColumn="0" w:oddVBand="0" w:evenVBand="0" w:oddHBand="1" w:evenHBand="0" w:firstRowFirstColumn="0" w:firstRowLastColumn="0" w:lastRowFirstColumn="0" w:lastRowLastColumn="0"/>
              <w:rPr>
                <w:rFonts w:ascii="Calibri" w:hAnsi="Calibri" w:cs="Calibri"/>
                <w:b/>
                <w:bCs/>
                <w:color w:val="auto"/>
                <w:sz w:val="16"/>
                <w:szCs w:val="16"/>
              </w:rPr>
            </w:pPr>
            <w:r w:rsidRPr="00A55766">
              <w:rPr>
                <w:rFonts w:ascii="Calibri" w:hAnsi="Calibri" w:cs="Calibri"/>
                <w:b/>
                <w:bCs/>
                <w:color w:val="C45911" w:themeColor="accent2" w:themeShade="BF"/>
                <w:sz w:val="16"/>
                <w:szCs w:val="16"/>
              </w:rPr>
              <w:t>Decisión (UE) 2023/2440</w:t>
            </w:r>
          </w:p>
          <w:p w14:paraId="09115016" w14:textId="7078F44B" w:rsidR="00F12FAE" w:rsidRPr="00A55766" w:rsidRDefault="00F12FAE" w:rsidP="00002BC2">
            <w:pPr>
              <w:pStyle w:val="Prrafodelista"/>
              <w:numPr>
                <w:ilvl w:val="0"/>
                <w:numId w:val="51"/>
              </w:numPr>
              <w:spacing w:after="60"/>
              <w:ind w:left="463"/>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6"/>
                <w:szCs w:val="16"/>
              </w:rPr>
            </w:pPr>
            <w:r>
              <w:rPr>
                <w:rFonts w:ascii="Calibri" w:hAnsi="Calibri" w:cs="Calibri"/>
                <w:color w:val="auto"/>
                <w:sz w:val="16"/>
                <w:szCs w:val="16"/>
              </w:rPr>
              <w:t>E</w:t>
            </w:r>
            <w:r w:rsidRPr="00A55766">
              <w:rPr>
                <w:rFonts w:ascii="Calibri" w:hAnsi="Calibri" w:cs="Calibri"/>
                <w:color w:val="auto"/>
                <w:sz w:val="16"/>
                <w:szCs w:val="16"/>
              </w:rPr>
              <w:t>stablece la cantidad de derechos de emisión en el marco del EU ETS que se asignará a los operadores de aeronaves en el marco del régimen de comercio de derechos de emisión de la UE para 2024</w:t>
            </w:r>
          </w:p>
          <w:p w14:paraId="3226D068" w14:textId="77777777" w:rsidR="00F12FAE" w:rsidRPr="00A55766" w:rsidRDefault="00F12FAE" w:rsidP="00A55766">
            <w:pPr>
              <w:spacing w:after="60"/>
              <w:jc w:val="left"/>
              <w:cnfStyle w:val="000000100000" w:firstRow="0" w:lastRow="0" w:firstColumn="0" w:lastColumn="0" w:oddVBand="0" w:evenVBand="0" w:oddHBand="1" w:evenHBand="0" w:firstRowFirstColumn="0" w:firstRowLastColumn="0" w:lastRowFirstColumn="0" w:lastRowLastColumn="0"/>
              <w:rPr>
                <w:rFonts w:ascii="Calibri" w:hAnsi="Calibri" w:cs="Calibri"/>
                <w:b/>
                <w:bCs/>
                <w:color w:val="auto"/>
                <w:sz w:val="16"/>
                <w:szCs w:val="16"/>
              </w:rPr>
            </w:pPr>
            <w:r w:rsidRPr="00A55766">
              <w:rPr>
                <w:rFonts w:ascii="Calibri" w:hAnsi="Calibri" w:cs="Calibri"/>
                <w:b/>
                <w:bCs/>
                <w:color w:val="C45911" w:themeColor="accent2" w:themeShade="BF"/>
                <w:sz w:val="16"/>
                <w:szCs w:val="16"/>
              </w:rPr>
              <w:t>Reglamento de Ejecución (UE) 2024/2493</w:t>
            </w:r>
          </w:p>
          <w:p w14:paraId="60BCA698" w14:textId="1DF61818" w:rsidR="00F12FAE" w:rsidRPr="00A55766" w:rsidRDefault="00F12FAE" w:rsidP="00002BC2">
            <w:pPr>
              <w:pStyle w:val="Prrafodelista"/>
              <w:numPr>
                <w:ilvl w:val="0"/>
                <w:numId w:val="51"/>
              </w:numPr>
              <w:spacing w:after="60"/>
              <w:ind w:left="463"/>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6"/>
                <w:szCs w:val="16"/>
              </w:rPr>
            </w:pPr>
            <w:r>
              <w:rPr>
                <w:rFonts w:ascii="Calibri" w:hAnsi="Calibri" w:cs="Calibri"/>
                <w:color w:val="auto"/>
                <w:sz w:val="16"/>
                <w:szCs w:val="16"/>
              </w:rPr>
              <w:t>E</w:t>
            </w:r>
            <w:r w:rsidRPr="00A55766">
              <w:rPr>
                <w:rFonts w:ascii="Calibri" w:hAnsi="Calibri" w:cs="Calibri"/>
                <w:color w:val="auto"/>
                <w:sz w:val="16"/>
                <w:szCs w:val="16"/>
              </w:rPr>
              <w:t>stablece un marco para que los titulares de instalaciones y operadores de aeronaves sigan y notifiquen las emisiones de gases de efecto invernadero</w:t>
            </w:r>
          </w:p>
        </w:tc>
        <w:tc>
          <w:tcPr>
            <w:tcW w:w="826" w:type="pct"/>
            <w:shd w:val="clear" w:color="auto" w:fill="auto"/>
            <w:vAlign w:val="center"/>
          </w:tcPr>
          <w:p w14:paraId="404FFFD8" w14:textId="77777777" w:rsidR="00F12FAE" w:rsidRPr="0089303E" w:rsidRDefault="00F12FAE" w:rsidP="0089303E">
            <w:pPr>
              <w:spacing w:after="6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6"/>
                <w:szCs w:val="16"/>
              </w:rPr>
            </w:pPr>
          </w:p>
        </w:tc>
        <w:tc>
          <w:tcPr>
            <w:tcW w:w="869" w:type="pct"/>
            <w:shd w:val="clear" w:color="auto" w:fill="auto"/>
            <w:vAlign w:val="center"/>
          </w:tcPr>
          <w:p w14:paraId="5816C727" w14:textId="77777777" w:rsidR="00F12FAE" w:rsidRPr="0089303E" w:rsidRDefault="00F12FAE" w:rsidP="0089303E">
            <w:pPr>
              <w:spacing w:after="6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Buques a los que aplica:</w:t>
            </w:r>
          </w:p>
          <w:p w14:paraId="7CE2FA28" w14:textId="77777777" w:rsidR="00F12FAE" w:rsidRPr="0089303E" w:rsidRDefault="00F12FAE" w:rsidP="00002BC2">
            <w:pPr>
              <w:numPr>
                <w:ilvl w:val="0"/>
                <w:numId w:val="51"/>
              </w:numPr>
              <w:spacing w:after="60"/>
              <w:ind w:left="465"/>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6"/>
                <w:szCs w:val="16"/>
              </w:rPr>
            </w:pPr>
            <w:r w:rsidRPr="0089303E">
              <w:rPr>
                <w:rFonts w:ascii="Calibri" w:hAnsi="Calibri" w:cs="Calibri"/>
                <w:b/>
                <w:bCs/>
                <w:color w:val="auto"/>
                <w:sz w:val="16"/>
                <w:szCs w:val="16"/>
              </w:rPr>
              <w:t>Desde 2024</w:t>
            </w:r>
            <w:r w:rsidRPr="0089303E">
              <w:rPr>
                <w:rFonts w:ascii="Calibri" w:hAnsi="Calibri" w:cs="Calibri"/>
                <w:color w:val="auto"/>
                <w:sz w:val="16"/>
                <w:szCs w:val="16"/>
              </w:rPr>
              <w:t>, buques &gt; 5.000 GT.</w:t>
            </w:r>
          </w:p>
          <w:p w14:paraId="2AA3CC50" w14:textId="77777777" w:rsidR="00F12FAE" w:rsidRPr="0089303E" w:rsidRDefault="00F12FAE" w:rsidP="00002BC2">
            <w:pPr>
              <w:numPr>
                <w:ilvl w:val="0"/>
                <w:numId w:val="51"/>
              </w:numPr>
              <w:spacing w:after="60"/>
              <w:ind w:left="465"/>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6"/>
                <w:szCs w:val="16"/>
              </w:rPr>
            </w:pPr>
            <w:r w:rsidRPr="0089303E">
              <w:rPr>
                <w:rFonts w:ascii="Calibri" w:hAnsi="Calibri" w:cs="Calibri"/>
                <w:b/>
                <w:bCs/>
                <w:color w:val="auto"/>
                <w:sz w:val="16"/>
                <w:szCs w:val="16"/>
              </w:rPr>
              <w:lastRenderedPageBreak/>
              <w:t>Desde 2027</w:t>
            </w:r>
            <w:r w:rsidRPr="0089303E">
              <w:rPr>
                <w:rFonts w:ascii="Calibri" w:hAnsi="Calibri" w:cs="Calibri"/>
                <w:color w:val="auto"/>
                <w:sz w:val="16"/>
                <w:szCs w:val="16"/>
              </w:rPr>
              <w:t xml:space="preserve">, Buques </w:t>
            </w:r>
            <w:proofErr w:type="gramStart"/>
            <w:r w:rsidRPr="0089303E">
              <w:rPr>
                <w:rFonts w:ascii="Calibri" w:hAnsi="Calibri" w:cs="Calibri"/>
                <w:color w:val="auto"/>
                <w:sz w:val="16"/>
                <w:szCs w:val="16"/>
              </w:rPr>
              <w:t>offshore</w:t>
            </w:r>
            <w:proofErr w:type="gramEnd"/>
            <w:r w:rsidRPr="0089303E">
              <w:rPr>
                <w:rFonts w:ascii="Calibri" w:hAnsi="Calibri" w:cs="Calibri"/>
                <w:color w:val="auto"/>
                <w:sz w:val="16"/>
                <w:szCs w:val="16"/>
              </w:rPr>
              <w:t xml:space="preserve"> &gt; 400.</w:t>
            </w:r>
          </w:p>
          <w:p w14:paraId="68E1F599" w14:textId="77777777" w:rsidR="00F12FAE" w:rsidRPr="0089303E" w:rsidRDefault="00F12FAE" w:rsidP="0089303E">
            <w:pPr>
              <w:spacing w:after="6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Gases a los que aplica:</w:t>
            </w:r>
          </w:p>
          <w:p w14:paraId="3F97D4EF" w14:textId="77777777" w:rsidR="00F12FAE" w:rsidRPr="0089303E" w:rsidRDefault="00F12FAE" w:rsidP="00002BC2">
            <w:pPr>
              <w:numPr>
                <w:ilvl w:val="0"/>
                <w:numId w:val="63"/>
              </w:numPr>
              <w:spacing w:after="60"/>
              <w:ind w:left="465"/>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6"/>
                <w:szCs w:val="16"/>
              </w:rPr>
            </w:pPr>
            <w:r w:rsidRPr="0089303E">
              <w:rPr>
                <w:rFonts w:ascii="Calibri" w:hAnsi="Calibri" w:cs="Calibri"/>
                <w:b/>
                <w:bCs/>
                <w:color w:val="auto"/>
                <w:sz w:val="16"/>
                <w:szCs w:val="16"/>
              </w:rPr>
              <w:t>2024 y 2025</w:t>
            </w:r>
            <w:r w:rsidRPr="0089303E">
              <w:rPr>
                <w:rFonts w:ascii="Calibri" w:hAnsi="Calibri" w:cs="Calibri"/>
                <w:color w:val="auto"/>
                <w:sz w:val="16"/>
                <w:szCs w:val="16"/>
              </w:rPr>
              <w:t>: CO</w:t>
            </w:r>
            <w:r w:rsidRPr="0089303E">
              <w:rPr>
                <w:rFonts w:ascii="Calibri" w:hAnsi="Calibri" w:cs="Calibri"/>
                <w:color w:val="auto"/>
                <w:sz w:val="16"/>
                <w:szCs w:val="16"/>
                <w:vertAlign w:val="subscript"/>
              </w:rPr>
              <w:t>2</w:t>
            </w:r>
            <w:r w:rsidRPr="0089303E">
              <w:rPr>
                <w:rFonts w:ascii="Calibri" w:hAnsi="Calibri" w:cs="Calibri"/>
                <w:color w:val="auto"/>
                <w:sz w:val="16"/>
                <w:szCs w:val="16"/>
              </w:rPr>
              <w:t>.</w:t>
            </w:r>
          </w:p>
          <w:p w14:paraId="3ED0B34F" w14:textId="77777777" w:rsidR="00F12FAE" w:rsidRPr="0089303E" w:rsidRDefault="00F12FAE" w:rsidP="00002BC2">
            <w:pPr>
              <w:numPr>
                <w:ilvl w:val="0"/>
                <w:numId w:val="63"/>
              </w:numPr>
              <w:spacing w:after="60"/>
              <w:ind w:left="465"/>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6"/>
                <w:szCs w:val="16"/>
              </w:rPr>
            </w:pPr>
            <w:r w:rsidRPr="0089303E">
              <w:rPr>
                <w:rFonts w:ascii="Calibri" w:hAnsi="Calibri" w:cs="Calibri"/>
                <w:b/>
                <w:bCs/>
                <w:color w:val="auto"/>
                <w:sz w:val="16"/>
                <w:szCs w:val="16"/>
              </w:rPr>
              <w:t>2026 en adelante</w:t>
            </w:r>
            <w:r w:rsidRPr="0089303E">
              <w:rPr>
                <w:rFonts w:ascii="Calibri" w:hAnsi="Calibri" w:cs="Calibri"/>
                <w:color w:val="auto"/>
                <w:sz w:val="16"/>
                <w:szCs w:val="16"/>
              </w:rPr>
              <w:t>: CO</w:t>
            </w:r>
            <w:r w:rsidRPr="0089303E">
              <w:rPr>
                <w:rFonts w:ascii="Calibri" w:hAnsi="Calibri" w:cs="Calibri"/>
                <w:color w:val="auto"/>
                <w:sz w:val="16"/>
                <w:szCs w:val="16"/>
                <w:vertAlign w:val="subscript"/>
              </w:rPr>
              <w:t>2</w:t>
            </w:r>
            <w:r w:rsidRPr="0089303E">
              <w:rPr>
                <w:rFonts w:ascii="Calibri" w:hAnsi="Calibri" w:cs="Calibri"/>
                <w:color w:val="auto"/>
                <w:sz w:val="16"/>
                <w:szCs w:val="16"/>
              </w:rPr>
              <w:t>, CH</w:t>
            </w:r>
            <w:r w:rsidRPr="0089303E">
              <w:rPr>
                <w:rFonts w:ascii="Calibri" w:hAnsi="Calibri" w:cs="Calibri"/>
                <w:color w:val="auto"/>
                <w:sz w:val="16"/>
                <w:szCs w:val="16"/>
                <w:vertAlign w:val="subscript"/>
              </w:rPr>
              <w:t>4</w:t>
            </w:r>
            <w:r w:rsidRPr="0089303E">
              <w:rPr>
                <w:rFonts w:ascii="Calibri" w:hAnsi="Calibri" w:cs="Calibri"/>
                <w:color w:val="auto"/>
                <w:sz w:val="16"/>
                <w:szCs w:val="16"/>
              </w:rPr>
              <w:t>, N</w:t>
            </w:r>
            <w:r w:rsidRPr="0089303E">
              <w:rPr>
                <w:rFonts w:ascii="Calibri" w:hAnsi="Calibri" w:cs="Calibri"/>
                <w:color w:val="auto"/>
                <w:sz w:val="16"/>
                <w:szCs w:val="16"/>
                <w:vertAlign w:val="subscript"/>
              </w:rPr>
              <w:t>2</w:t>
            </w:r>
            <w:r w:rsidRPr="0089303E">
              <w:rPr>
                <w:rFonts w:ascii="Calibri" w:hAnsi="Calibri" w:cs="Calibri"/>
                <w:color w:val="auto"/>
                <w:sz w:val="16"/>
                <w:szCs w:val="16"/>
              </w:rPr>
              <w:t>O.</w:t>
            </w:r>
          </w:p>
          <w:p w14:paraId="677BB969" w14:textId="77777777" w:rsidR="00F12FAE" w:rsidRPr="0089303E" w:rsidRDefault="00F12FAE" w:rsidP="0089303E">
            <w:pPr>
              <w:spacing w:after="6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Emisiones:</w:t>
            </w:r>
          </w:p>
          <w:p w14:paraId="1084D793" w14:textId="77777777" w:rsidR="00F12FAE" w:rsidRPr="0089303E" w:rsidRDefault="00F12FAE" w:rsidP="00002BC2">
            <w:pPr>
              <w:numPr>
                <w:ilvl w:val="0"/>
                <w:numId w:val="64"/>
              </w:numPr>
              <w:spacing w:after="60"/>
              <w:ind w:left="465"/>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100% emisiones en viajes entre puertos EEE.</w:t>
            </w:r>
          </w:p>
          <w:p w14:paraId="534EE17E" w14:textId="77777777" w:rsidR="00F12FAE" w:rsidRPr="0089303E" w:rsidRDefault="00F12FAE" w:rsidP="00002BC2">
            <w:pPr>
              <w:numPr>
                <w:ilvl w:val="0"/>
                <w:numId w:val="64"/>
              </w:numPr>
              <w:spacing w:after="60"/>
              <w:ind w:left="465"/>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100% emisiones en escalas en puertos EEE.</w:t>
            </w:r>
          </w:p>
          <w:p w14:paraId="142D765E" w14:textId="77777777" w:rsidR="00F12FAE" w:rsidRPr="0089303E" w:rsidRDefault="00F12FAE" w:rsidP="00002BC2">
            <w:pPr>
              <w:numPr>
                <w:ilvl w:val="0"/>
                <w:numId w:val="64"/>
              </w:numPr>
              <w:spacing w:after="60"/>
              <w:ind w:left="465"/>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50% emisiones en viajes entre puertos EEE y un tercer Estado.</w:t>
            </w:r>
          </w:p>
          <w:p w14:paraId="2F22B497" w14:textId="77777777" w:rsidR="00F12FAE" w:rsidRPr="0089303E" w:rsidRDefault="00F12FAE" w:rsidP="0089303E">
            <w:pPr>
              <w:spacing w:after="6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Porcentajes de las emisiones:</w:t>
            </w:r>
          </w:p>
          <w:p w14:paraId="6176C06C" w14:textId="77777777" w:rsidR="00F12FAE" w:rsidRPr="0089303E" w:rsidRDefault="00F12FAE" w:rsidP="00002BC2">
            <w:pPr>
              <w:numPr>
                <w:ilvl w:val="0"/>
                <w:numId w:val="65"/>
              </w:numPr>
              <w:spacing w:after="60"/>
              <w:ind w:left="465"/>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6"/>
                <w:szCs w:val="16"/>
              </w:rPr>
            </w:pPr>
            <w:r w:rsidRPr="0089303E">
              <w:rPr>
                <w:rFonts w:ascii="Calibri" w:hAnsi="Calibri" w:cs="Calibri"/>
                <w:b/>
                <w:bCs/>
                <w:color w:val="auto"/>
                <w:sz w:val="16"/>
                <w:szCs w:val="16"/>
              </w:rPr>
              <w:t>2024</w:t>
            </w:r>
            <w:r w:rsidRPr="0089303E">
              <w:rPr>
                <w:rFonts w:ascii="Calibri" w:hAnsi="Calibri" w:cs="Calibri"/>
                <w:color w:val="auto"/>
                <w:sz w:val="16"/>
                <w:szCs w:val="16"/>
              </w:rPr>
              <w:t>: 40% de las emisiones.</w:t>
            </w:r>
          </w:p>
          <w:p w14:paraId="23C0D896" w14:textId="77777777" w:rsidR="00F12FAE" w:rsidRPr="0089303E" w:rsidRDefault="00F12FAE" w:rsidP="00002BC2">
            <w:pPr>
              <w:numPr>
                <w:ilvl w:val="0"/>
                <w:numId w:val="65"/>
              </w:numPr>
              <w:spacing w:after="60"/>
              <w:ind w:left="465"/>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6"/>
                <w:szCs w:val="16"/>
              </w:rPr>
            </w:pPr>
            <w:r w:rsidRPr="0089303E">
              <w:rPr>
                <w:rFonts w:ascii="Calibri" w:hAnsi="Calibri" w:cs="Calibri"/>
                <w:b/>
                <w:bCs/>
                <w:color w:val="auto"/>
                <w:sz w:val="16"/>
                <w:szCs w:val="16"/>
              </w:rPr>
              <w:t>2025</w:t>
            </w:r>
            <w:r w:rsidRPr="0089303E">
              <w:rPr>
                <w:rFonts w:ascii="Calibri" w:hAnsi="Calibri" w:cs="Calibri"/>
                <w:color w:val="auto"/>
                <w:sz w:val="16"/>
                <w:szCs w:val="16"/>
              </w:rPr>
              <w:t>: 70% de las emisiones.</w:t>
            </w:r>
          </w:p>
          <w:p w14:paraId="3841B4CE" w14:textId="77777777" w:rsidR="00F12FAE" w:rsidRPr="0089303E" w:rsidRDefault="00F12FAE" w:rsidP="00002BC2">
            <w:pPr>
              <w:numPr>
                <w:ilvl w:val="0"/>
                <w:numId w:val="65"/>
              </w:numPr>
              <w:spacing w:after="60"/>
              <w:ind w:left="465"/>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6"/>
                <w:szCs w:val="16"/>
              </w:rPr>
            </w:pPr>
            <w:r w:rsidRPr="0089303E">
              <w:rPr>
                <w:rFonts w:ascii="Calibri" w:hAnsi="Calibri" w:cs="Calibri"/>
                <w:b/>
                <w:bCs/>
                <w:color w:val="auto"/>
                <w:sz w:val="16"/>
                <w:szCs w:val="16"/>
              </w:rPr>
              <w:t>2026 y sucesivos</w:t>
            </w:r>
            <w:r w:rsidRPr="0089303E">
              <w:rPr>
                <w:rFonts w:ascii="Calibri" w:hAnsi="Calibri" w:cs="Calibri"/>
                <w:color w:val="auto"/>
                <w:sz w:val="16"/>
                <w:szCs w:val="16"/>
              </w:rPr>
              <w:t>: 100% de las emisiones.</w:t>
            </w:r>
          </w:p>
          <w:p w14:paraId="4BC21329" w14:textId="77777777" w:rsidR="00F12FAE" w:rsidRPr="0089303E" w:rsidRDefault="00F12FAE" w:rsidP="0089303E">
            <w:pPr>
              <w:spacing w:after="6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 xml:space="preserve">Entrega de los </w:t>
            </w:r>
            <w:proofErr w:type="spellStart"/>
            <w:r w:rsidRPr="0089303E">
              <w:rPr>
                <w:rFonts w:ascii="Calibri" w:hAnsi="Calibri" w:cs="Calibri"/>
                <w:color w:val="auto"/>
                <w:sz w:val="16"/>
                <w:szCs w:val="16"/>
              </w:rPr>
              <w:t>EUAs</w:t>
            </w:r>
            <w:proofErr w:type="spellEnd"/>
            <w:r w:rsidRPr="0089303E">
              <w:rPr>
                <w:rFonts w:ascii="Calibri" w:hAnsi="Calibri" w:cs="Calibri"/>
                <w:color w:val="auto"/>
                <w:sz w:val="16"/>
                <w:szCs w:val="16"/>
              </w:rPr>
              <w:t>:</w:t>
            </w:r>
          </w:p>
          <w:p w14:paraId="6F65DAF1" w14:textId="77777777" w:rsidR="00F12FAE" w:rsidRPr="0089303E" w:rsidRDefault="00F12FAE" w:rsidP="00002BC2">
            <w:pPr>
              <w:numPr>
                <w:ilvl w:val="0"/>
                <w:numId w:val="66"/>
              </w:numPr>
              <w:spacing w:after="60"/>
              <w:ind w:left="465"/>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 xml:space="preserve">El 30 de septiembre de cada año. </w:t>
            </w:r>
          </w:p>
          <w:p w14:paraId="24F8C74D" w14:textId="77777777" w:rsidR="00F12FAE" w:rsidRDefault="00F12FAE" w:rsidP="00002BC2">
            <w:pPr>
              <w:numPr>
                <w:ilvl w:val="0"/>
                <w:numId w:val="66"/>
              </w:numPr>
              <w:spacing w:after="60"/>
              <w:ind w:left="465"/>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 xml:space="preserve">Primera entrega </w:t>
            </w:r>
            <w:r w:rsidRPr="0089303E">
              <w:rPr>
                <w:rFonts w:ascii="Calibri" w:hAnsi="Calibri" w:cs="Calibri"/>
                <w:b/>
                <w:bCs/>
                <w:color w:val="auto"/>
                <w:sz w:val="16"/>
                <w:szCs w:val="16"/>
              </w:rPr>
              <w:t>el 30 de septiembre de 2025</w:t>
            </w:r>
            <w:r w:rsidRPr="0089303E">
              <w:rPr>
                <w:rFonts w:ascii="Calibri" w:hAnsi="Calibri" w:cs="Calibri"/>
                <w:color w:val="auto"/>
                <w:sz w:val="16"/>
                <w:szCs w:val="16"/>
              </w:rPr>
              <w:t>, por el 40% de las emisiones de 2024.</w:t>
            </w:r>
          </w:p>
          <w:p w14:paraId="453F768A" w14:textId="77777777" w:rsidR="00F12FAE" w:rsidRPr="00A33448" w:rsidRDefault="00F12FAE" w:rsidP="00A33448">
            <w:pPr>
              <w:spacing w:after="60"/>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s="Calibri"/>
                <w:b/>
                <w:bCs/>
                <w:color w:val="auto"/>
                <w:sz w:val="16"/>
                <w:szCs w:val="16"/>
              </w:rPr>
            </w:pPr>
            <w:r w:rsidRPr="00A33448">
              <w:rPr>
                <w:rFonts w:ascii="Calibri" w:hAnsi="Calibri" w:cs="Calibri"/>
                <w:b/>
                <w:bCs/>
                <w:color w:val="C45911" w:themeColor="accent2" w:themeShade="BF"/>
                <w:sz w:val="16"/>
                <w:szCs w:val="16"/>
              </w:rPr>
              <w:t>Reglamento de Ejecución (UE) 2023/2599</w:t>
            </w:r>
          </w:p>
          <w:p w14:paraId="63656EC1" w14:textId="77777777" w:rsidR="00F12FAE" w:rsidRDefault="00F12FAE" w:rsidP="00002BC2">
            <w:pPr>
              <w:pStyle w:val="Prrafodelista"/>
              <w:numPr>
                <w:ilvl w:val="0"/>
                <w:numId w:val="85"/>
              </w:numPr>
              <w:spacing w:after="60"/>
              <w:ind w:left="457"/>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6"/>
                <w:szCs w:val="16"/>
              </w:rPr>
            </w:pPr>
            <w:r>
              <w:rPr>
                <w:rFonts w:ascii="Calibri" w:hAnsi="Calibri" w:cs="Calibri"/>
                <w:color w:val="auto"/>
                <w:sz w:val="16"/>
                <w:szCs w:val="16"/>
              </w:rPr>
              <w:t>E</w:t>
            </w:r>
            <w:r w:rsidRPr="00A33448">
              <w:rPr>
                <w:rFonts w:ascii="Calibri" w:hAnsi="Calibri" w:cs="Calibri"/>
                <w:color w:val="auto"/>
                <w:sz w:val="16"/>
                <w:szCs w:val="16"/>
              </w:rPr>
              <w:t>stablece disposiciones de aplicación</w:t>
            </w:r>
            <w:r>
              <w:rPr>
                <w:rFonts w:ascii="Calibri" w:hAnsi="Calibri" w:cs="Calibri"/>
                <w:color w:val="auto"/>
                <w:sz w:val="16"/>
                <w:szCs w:val="16"/>
              </w:rPr>
              <w:t xml:space="preserve"> </w:t>
            </w:r>
            <w:r w:rsidRPr="00A33448">
              <w:rPr>
                <w:rFonts w:ascii="Calibri" w:hAnsi="Calibri" w:cs="Calibri"/>
                <w:color w:val="auto"/>
                <w:sz w:val="16"/>
                <w:szCs w:val="16"/>
              </w:rPr>
              <w:t>respecto a la gestión de las empresas navieras por las autoridades responsables</w:t>
            </w:r>
          </w:p>
          <w:p w14:paraId="5BB2A308" w14:textId="77777777" w:rsidR="00F12FAE" w:rsidRPr="00002BC2" w:rsidRDefault="00F12FAE" w:rsidP="00A33448">
            <w:pPr>
              <w:spacing w:after="60"/>
              <w:jc w:val="left"/>
              <w:cnfStyle w:val="000000100000" w:firstRow="0" w:lastRow="0" w:firstColumn="0" w:lastColumn="0" w:oddVBand="0" w:evenVBand="0" w:oddHBand="1" w:evenHBand="0" w:firstRowFirstColumn="0" w:firstRowLastColumn="0" w:lastRowFirstColumn="0" w:lastRowLastColumn="0"/>
              <w:rPr>
                <w:rFonts w:ascii="Calibri" w:hAnsi="Calibri" w:cs="Calibri"/>
                <w:b/>
                <w:bCs/>
                <w:color w:val="auto"/>
                <w:sz w:val="16"/>
                <w:szCs w:val="16"/>
              </w:rPr>
            </w:pPr>
            <w:r w:rsidRPr="00002BC2">
              <w:rPr>
                <w:rFonts w:ascii="Calibri" w:hAnsi="Calibri" w:cs="Calibri"/>
                <w:b/>
                <w:bCs/>
                <w:color w:val="C45911" w:themeColor="accent2" w:themeShade="BF"/>
                <w:sz w:val="16"/>
                <w:szCs w:val="16"/>
              </w:rPr>
              <w:t>Decisión de Ejecución 2024/411</w:t>
            </w:r>
          </w:p>
          <w:p w14:paraId="68806B3F" w14:textId="77777777" w:rsidR="00F12FAE" w:rsidRDefault="00F12FAE" w:rsidP="00002BC2">
            <w:pPr>
              <w:pStyle w:val="Prrafodelista"/>
              <w:numPr>
                <w:ilvl w:val="0"/>
                <w:numId w:val="85"/>
              </w:numPr>
              <w:spacing w:after="60"/>
              <w:ind w:left="457"/>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6"/>
                <w:szCs w:val="16"/>
              </w:rPr>
            </w:pPr>
            <w:r>
              <w:rPr>
                <w:rFonts w:ascii="Calibri" w:hAnsi="Calibri" w:cs="Calibri"/>
                <w:color w:val="auto"/>
                <w:sz w:val="16"/>
                <w:szCs w:val="16"/>
              </w:rPr>
              <w:t>P</w:t>
            </w:r>
            <w:r w:rsidRPr="00A33448">
              <w:rPr>
                <w:rFonts w:ascii="Calibri" w:hAnsi="Calibri" w:cs="Calibri"/>
                <w:color w:val="auto"/>
                <w:sz w:val="16"/>
                <w:szCs w:val="16"/>
              </w:rPr>
              <w:t>ublica la lista de empresas navieras y la asignación de su autoridad responsable a efectos de cumplimiento del EU ETS</w:t>
            </w:r>
          </w:p>
          <w:p w14:paraId="71018090" w14:textId="77777777" w:rsidR="00F12FAE" w:rsidRPr="00002BC2" w:rsidRDefault="00F12FAE" w:rsidP="00002BC2">
            <w:pPr>
              <w:spacing w:after="60"/>
              <w:jc w:val="left"/>
              <w:cnfStyle w:val="000000100000" w:firstRow="0" w:lastRow="0" w:firstColumn="0" w:lastColumn="0" w:oddVBand="0" w:evenVBand="0" w:oddHBand="1" w:evenHBand="0" w:firstRowFirstColumn="0" w:firstRowLastColumn="0" w:lastRowFirstColumn="0" w:lastRowLastColumn="0"/>
              <w:rPr>
                <w:rFonts w:ascii="Calibri" w:hAnsi="Calibri" w:cs="Calibri"/>
                <w:b/>
                <w:bCs/>
                <w:color w:val="auto"/>
                <w:sz w:val="16"/>
                <w:szCs w:val="16"/>
              </w:rPr>
            </w:pPr>
            <w:r w:rsidRPr="00002BC2">
              <w:rPr>
                <w:rFonts w:ascii="Calibri" w:hAnsi="Calibri" w:cs="Calibri"/>
                <w:b/>
                <w:bCs/>
                <w:color w:val="C45911" w:themeColor="accent2" w:themeShade="BF"/>
                <w:sz w:val="16"/>
                <w:szCs w:val="16"/>
              </w:rPr>
              <w:t xml:space="preserve">Borrador del Reglamento </w:t>
            </w:r>
            <w:proofErr w:type="gramStart"/>
            <w:r w:rsidRPr="00002BC2">
              <w:rPr>
                <w:rFonts w:ascii="Calibri" w:hAnsi="Calibri" w:cs="Calibri"/>
                <w:b/>
                <w:bCs/>
                <w:color w:val="C45911" w:themeColor="accent2" w:themeShade="BF"/>
                <w:sz w:val="16"/>
                <w:szCs w:val="16"/>
              </w:rPr>
              <w:t>Delegado  sobre</w:t>
            </w:r>
            <w:proofErr w:type="gramEnd"/>
            <w:r w:rsidRPr="00002BC2">
              <w:rPr>
                <w:rFonts w:ascii="Calibri" w:hAnsi="Calibri" w:cs="Calibri"/>
                <w:b/>
                <w:bCs/>
                <w:color w:val="C45911" w:themeColor="accent2" w:themeShade="BF"/>
                <w:sz w:val="16"/>
                <w:szCs w:val="16"/>
              </w:rPr>
              <w:t xml:space="preserve"> directrices para la aplicación del ETS y el MRV</w:t>
            </w:r>
          </w:p>
          <w:p w14:paraId="0D71CCF6" w14:textId="77777777" w:rsidR="00F12FAE" w:rsidRDefault="00F12FAE" w:rsidP="00002BC2">
            <w:pPr>
              <w:pStyle w:val="Prrafodelista"/>
              <w:numPr>
                <w:ilvl w:val="0"/>
                <w:numId w:val="85"/>
              </w:numPr>
              <w:spacing w:after="60"/>
              <w:ind w:left="457"/>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6"/>
                <w:szCs w:val="16"/>
              </w:rPr>
            </w:pPr>
            <w:r>
              <w:rPr>
                <w:rFonts w:ascii="Calibri" w:hAnsi="Calibri" w:cs="Calibri"/>
                <w:color w:val="auto"/>
                <w:sz w:val="16"/>
                <w:szCs w:val="16"/>
              </w:rPr>
              <w:lastRenderedPageBreak/>
              <w:t>Listado de buques &gt;400 GT incluidos en el MRV a partir del 1 de enero de 2025.</w:t>
            </w:r>
          </w:p>
          <w:p w14:paraId="318D4198" w14:textId="5D8AA700" w:rsidR="00F12FAE" w:rsidRPr="00002BC2" w:rsidRDefault="00F12FAE" w:rsidP="00002BC2">
            <w:pPr>
              <w:pStyle w:val="Prrafodelista"/>
              <w:numPr>
                <w:ilvl w:val="0"/>
                <w:numId w:val="85"/>
              </w:numPr>
              <w:spacing w:after="60"/>
              <w:ind w:left="457"/>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6"/>
                <w:szCs w:val="16"/>
              </w:rPr>
            </w:pPr>
            <w:r>
              <w:rPr>
                <w:rFonts w:ascii="Calibri" w:hAnsi="Calibri" w:cs="Calibri"/>
                <w:color w:val="auto"/>
                <w:sz w:val="16"/>
                <w:szCs w:val="16"/>
              </w:rPr>
              <w:t>Normativa aplicable a los combustibles sostenibles.</w:t>
            </w:r>
          </w:p>
        </w:tc>
      </w:tr>
      <w:tr w:rsidR="00F12FAE" w:rsidRPr="0089303E" w14:paraId="211A5E24" w14:textId="77777777" w:rsidTr="00435E18">
        <w:trPr>
          <w:trHeight w:val="761"/>
        </w:trPr>
        <w:tc>
          <w:tcPr>
            <w:cnfStyle w:val="001000000000" w:firstRow="0" w:lastRow="0" w:firstColumn="1" w:lastColumn="0" w:oddVBand="0" w:evenVBand="0" w:oddHBand="0" w:evenHBand="0" w:firstRowFirstColumn="0" w:firstRowLastColumn="0" w:lastRowFirstColumn="0" w:lastRowLastColumn="0"/>
            <w:tcW w:w="174" w:type="pct"/>
            <w:vMerge/>
            <w:shd w:val="clear" w:color="auto" w:fill="1D3C5A"/>
          </w:tcPr>
          <w:p w14:paraId="6DB23AD0" w14:textId="77777777" w:rsidR="00F12FAE" w:rsidRPr="0089303E" w:rsidRDefault="00F12FAE" w:rsidP="0089303E">
            <w:pPr>
              <w:spacing w:after="60"/>
              <w:jc w:val="center"/>
              <w:rPr>
                <w:rFonts w:ascii="Calibri Light" w:hAnsi="Calibri Light" w:cs="Calibri Light"/>
                <w:color w:val="FFFFFF"/>
                <w:sz w:val="16"/>
                <w:szCs w:val="16"/>
              </w:rPr>
            </w:pPr>
          </w:p>
        </w:tc>
        <w:tc>
          <w:tcPr>
            <w:tcW w:w="652" w:type="pct"/>
            <w:shd w:val="clear" w:color="auto" w:fill="F6F9FC"/>
            <w:vAlign w:val="center"/>
          </w:tcPr>
          <w:p w14:paraId="69872FD3" w14:textId="11783E46" w:rsidR="00F12FAE" w:rsidRPr="0089303E" w:rsidRDefault="00F12FAE" w:rsidP="0089303E">
            <w:pPr>
              <w:spacing w:after="60"/>
              <w:jc w:val="left"/>
              <w:cnfStyle w:val="000000000000" w:firstRow="0" w:lastRow="0" w:firstColumn="0" w:lastColumn="0" w:oddVBand="0" w:evenVBand="0" w:oddHBand="0" w:evenHBand="0" w:firstRowFirstColumn="0" w:firstRowLastColumn="0" w:lastRowFirstColumn="0" w:lastRowLastColumn="0"/>
              <w:rPr>
                <w:rFonts w:ascii="Calibri Light" w:hAnsi="Calibri Light" w:cs="Calibri Light"/>
                <w:b/>
                <w:bCs/>
                <w:color w:val="538135"/>
                <w:sz w:val="18"/>
                <w:szCs w:val="18"/>
              </w:rPr>
            </w:pPr>
            <w:r>
              <w:rPr>
                <w:rFonts w:ascii="Calibri Light" w:hAnsi="Calibri Light" w:cs="Calibri Light"/>
                <w:b/>
                <w:bCs/>
                <w:sz w:val="18"/>
                <w:szCs w:val="18"/>
              </w:rPr>
              <w:t>R</w:t>
            </w:r>
            <w:r w:rsidRPr="00377592">
              <w:rPr>
                <w:rFonts w:ascii="Calibri Light" w:hAnsi="Calibri Light" w:cs="Calibri Light"/>
                <w:b/>
                <w:bCs/>
                <w:sz w:val="18"/>
                <w:szCs w:val="18"/>
              </w:rPr>
              <w:t>eglamento MRV</w:t>
            </w:r>
          </w:p>
        </w:tc>
        <w:tc>
          <w:tcPr>
            <w:tcW w:w="869" w:type="pct"/>
            <w:shd w:val="clear" w:color="auto" w:fill="F6F9FC"/>
            <w:vAlign w:val="center"/>
          </w:tcPr>
          <w:p w14:paraId="0242B202" w14:textId="77777777" w:rsidR="00F12FAE" w:rsidRPr="0089303E" w:rsidRDefault="00F12FAE" w:rsidP="0089303E">
            <w:pPr>
              <w:spacing w:after="6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p>
        </w:tc>
        <w:tc>
          <w:tcPr>
            <w:tcW w:w="740" w:type="pct"/>
            <w:shd w:val="clear" w:color="auto" w:fill="F6F9FC"/>
            <w:vAlign w:val="center"/>
          </w:tcPr>
          <w:p w14:paraId="53B3AFF9" w14:textId="77777777" w:rsidR="00F12FAE" w:rsidRPr="0089303E" w:rsidRDefault="00F12FAE" w:rsidP="0089303E">
            <w:pPr>
              <w:spacing w:after="6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p>
        </w:tc>
        <w:tc>
          <w:tcPr>
            <w:tcW w:w="870" w:type="pct"/>
            <w:shd w:val="clear" w:color="auto" w:fill="F6F9FC"/>
            <w:vAlign w:val="center"/>
          </w:tcPr>
          <w:p w14:paraId="2F72B49C" w14:textId="77777777" w:rsidR="00F12FAE" w:rsidRPr="0089303E" w:rsidRDefault="00F12FAE" w:rsidP="0089303E">
            <w:pPr>
              <w:spacing w:after="6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p>
        </w:tc>
        <w:tc>
          <w:tcPr>
            <w:tcW w:w="826" w:type="pct"/>
            <w:shd w:val="clear" w:color="auto" w:fill="F6F9FC"/>
            <w:vAlign w:val="center"/>
          </w:tcPr>
          <w:p w14:paraId="5E878449" w14:textId="77777777" w:rsidR="00F12FAE" w:rsidRPr="0089303E" w:rsidRDefault="00F12FAE" w:rsidP="0089303E">
            <w:pPr>
              <w:spacing w:after="6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p>
        </w:tc>
        <w:tc>
          <w:tcPr>
            <w:tcW w:w="869" w:type="pct"/>
            <w:shd w:val="clear" w:color="auto" w:fill="F6F9FC"/>
            <w:vAlign w:val="center"/>
          </w:tcPr>
          <w:p w14:paraId="0FEAC687" w14:textId="77777777" w:rsidR="00F12FAE" w:rsidRPr="0089303E" w:rsidRDefault="00F12FAE" w:rsidP="0089303E">
            <w:pPr>
              <w:spacing w:after="6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Aplicación a otros buques</w:t>
            </w:r>
            <w:r w:rsidRPr="0089303E">
              <w:rPr>
                <w:rFonts w:ascii="Calibri" w:hAnsi="Calibri" w:cs="Calibri"/>
                <w:b/>
                <w:bCs/>
                <w:color w:val="auto"/>
                <w:sz w:val="16"/>
                <w:szCs w:val="16"/>
              </w:rPr>
              <w:t>: desde 2025 se incluirán</w:t>
            </w:r>
            <w:r w:rsidRPr="0089303E">
              <w:rPr>
                <w:rFonts w:ascii="Calibri" w:hAnsi="Calibri" w:cs="Calibri"/>
                <w:color w:val="auto"/>
                <w:sz w:val="16"/>
                <w:szCs w:val="16"/>
              </w:rPr>
              <w:t>:</w:t>
            </w:r>
          </w:p>
          <w:p w14:paraId="3CCEF2FF" w14:textId="77777777" w:rsidR="00F12FAE" w:rsidRPr="0089303E" w:rsidRDefault="00F12FAE" w:rsidP="00002BC2">
            <w:pPr>
              <w:numPr>
                <w:ilvl w:val="0"/>
                <w:numId w:val="51"/>
              </w:numPr>
              <w:spacing w:after="60"/>
              <w:ind w:left="465"/>
              <w:contextualSpacing/>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 xml:space="preserve">Buques entre 400 GT y 5.000 GT respecto de sus viajes para transportar carga y buques </w:t>
            </w:r>
            <w:proofErr w:type="gramStart"/>
            <w:r w:rsidRPr="0089303E">
              <w:rPr>
                <w:rFonts w:ascii="Calibri" w:hAnsi="Calibri" w:cs="Calibri"/>
                <w:color w:val="auto"/>
                <w:sz w:val="16"/>
                <w:szCs w:val="16"/>
              </w:rPr>
              <w:t>offshore</w:t>
            </w:r>
            <w:proofErr w:type="gramEnd"/>
            <w:r w:rsidRPr="0089303E">
              <w:rPr>
                <w:rFonts w:ascii="Calibri" w:hAnsi="Calibri" w:cs="Calibri"/>
                <w:color w:val="auto"/>
                <w:sz w:val="16"/>
                <w:szCs w:val="16"/>
              </w:rPr>
              <w:t xml:space="preserve"> entre 400 y 5.000 GT. </w:t>
            </w:r>
            <w:r w:rsidRPr="0089303E">
              <w:rPr>
                <w:rFonts w:ascii="Calibri" w:hAnsi="Calibri" w:cs="Calibri"/>
                <w:b/>
                <w:bCs/>
                <w:color w:val="auto"/>
                <w:sz w:val="16"/>
                <w:szCs w:val="16"/>
              </w:rPr>
              <w:t>Antes del fin de 2026</w:t>
            </w:r>
            <w:r w:rsidRPr="0089303E">
              <w:rPr>
                <w:rFonts w:ascii="Calibri" w:hAnsi="Calibri" w:cs="Calibri"/>
                <w:color w:val="auto"/>
                <w:sz w:val="16"/>
                <w:szCs w:val="16"/>
              </w:rPr>
              <w:t xml:space="preserve"> se analizará su posible inclusión en el EU ETS.</w:t>
            </w:r>
          </w:p>
          <w:p w14:paraId="6A4D0530" w14:textId="77777777" w:rsidR="00F12FAE" w:rsidRPr="0089303E" w:rsidRDefault="00F12FAE" w:rsidP="0089303E">
            <w:pPr>
              <w:spacing w:after="6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Ampliación a otros gases:</w:t>
            </w:r>
          </w:p>
          <w:p w14:paraId="27CCF980" w14:textId="77777777" w:rsidR="00F12FAE" w:rsidRPr="0089303E" w:rsidRDefault="00F12FAE" w:rsidP="00002BC2">
            <w:pPr>
              <w:numPr>
                <w:ilvl w:val="0"/>
                <w:numId w:val="51"/>
              </w:numPr>
              <w:spacing w:after="60"/>
              <w:ind w:left="465"/>
              <w:contextualSpacing/>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89303E">
              <w:rPr>
                <w:rFonts w:ascii="Calibri" w:hAnsi="Calibri" w:cs="Calibri"/>
                <w:b/>
                <w:bCs/>
                <w:color w:val="auto"/>
                <w:sz w:val="16"/>
                <w:szCs w:val="16"/>
              </w:rPr>
              <w:t>Desde 2024</w:t>
            </w:r>
            <w:r w:rsidRPr="0089303E">
              <w:rPr>
                <w:rFonts w:ascii="Calibri" w:hAnsi="Calibri" w:cs="Calibri"/>
                <w:color w:val="auto"/>
                <w:sz w:val="16"/>
                <w:szCs w:val="16"/>
              </w:rPr>
              <w:t>, también se hará seguimiento de emisiones de CH</w:t>
            </w:r>
            <w:r w:rsidRPr="0089303E">
              <w:rPr>
                <w:rFonts w:ascii="Calibri" w:hAnsi="Calibri" w:cs="Calibri"/>
                <w:color w:val="auto"/>
                <w:sz w:val="16"/>
                <w:szCs w:val="16"/>
                <w:vertAlign w:val="subscript"/>
              </w:rPr>
              <w:t>4</w:t>
            </w:r>
            <w:r w:rsidRPr="0089303E">
              <w:rPr>
                <w:rFonts w:ascii="Calibri" w:hAnsi="Calibri" w:cs="Calibri"/>
                <w:color w:val="auto"/>
                <w:sz w:val="16"/>
                <w:szCs w:val="16"/>
              </w:rPr>
              <w:t xml:space="preserve"> y N</w:t>
            </w:r>
            <w:r w:rsidRPr="0089303E">
              <w:rPr>
                <w:rFonts w:ascii="Calibri" w:hAnsi="Calibri" w:cs="Calibri"/>
                <w:color w:val="auto"/>
                <w:sz w:val="16"/>
                <w:szCs w:val="16"/>
                <w:vertAlign w:val="subscript"/>
              </w:rPr>
              <w:t>2</w:t>
            </w:r>
            <w:r w:rsidRPr="0089303E">
              <w:rPr>
                <w:rFonts w:ascii="Calibri" w:hAnsi="Calibri" w:cs="Calibri"/>
                <w:color w:val="auto"/>
                <w:sz w:val="16"/>
                <w:szCs w:val="16"/>
              </w:rPr>
              <w:t>O.</w:t>
            </w:r>
          </w:p>
          <w:p w14:paraId="7D8C6F06" w14:textId="77777777" w:rsidR="00F12FAE" w:rsidRPr="0089303E" w:rsidRDefault="00F12FAE" w:rsidP="0089303E">
            <w:pPr>
              <w:spacing w:after="6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lastRenderedPageBreak/>
              <w:t>Modificación del Plan de seguimiento:</w:t>
            </w:r>
          </w:p>
          <w:p w14:paraId="0F8C3CFB" w14:textId="77777777" w:rsidR="00F12FAE" w:rsidRPr="0089303E" w:rsidRDefault="00F12FAE" w:rsidP="00002BC2">
            <w:pPr>
              <w:numPr>
                <w:ilvl w:val="0"/>
                <w:numId w:val="51"/>
              </w:numPr>
              <w:spacing w:after="60"/>
              <w:ind w:left="465"/>
              <w:contextualSpacing/>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89303E">
              <w:rPr>
                <w:rFonts w:ascii="Calibri" w:hAnsi="Calibri" w:cs="Calibri"/>
                <w:b/>
                <w:bCs/>
                <w:color w:val="auto"/>
                <w:sz w:val="16"/>
                <w:szCs w:val="16"/>
              </w:rPr>
              <w:t>Antes del 1 de abril de 2024</w:t>
            </w:r>
            <w:r w:rsidRPr="0089303E">
              <w:rPr>
                <w:rFonts w:ascii="Calibri" w:hAnsi="Calibri" w:cs="Calibri"/>
                <w:color w:val="auto"/>
                <w:sz w:val="16"/>
                <w:szCs w:val="16"/>
              </w:rPr>
              <w:t xml:space="preserve"> para incluir los nuevos gases (CH</w:t>
            </w:r>
            <w:r w:rsidRPr="0089303E">
              <w:rPr>
                <w:rFonts w:ascii="Calibri" w:hAnsi="Calibri" w:cs="Calibri"/>
                <w:color w:val="auto"/>
                <w:sz w:val="16"/>
                <w:szCs w:val="16"/>
                <w:vertAlign w:val="subscript"/>
              </w:rPr>
              <w:t>4</w:t>
            </w:r>
            <w:r w:rsidRPr="0089303E">
              <w:rPr>
                <w:rFonts w:ascii="Calibri" w:hAnsi="Calibri" w:cs="Calibri"/>
                <w:color w:val="auto"/>
                <w:sz w:val="16"/>
                <w:szCs w:val="16"/>
              </w:rPr>
              <w:t xml:space="preserve"> y N</w:t>
            </w:r>
            <w:r w:rsidRPr="0089303E">
              <w:rPr>
                <w:rFonts w:ascii="Calibri" w:hAnsi="Calibri" w:cs="Calibri"/>
                <w:color w:val="auto"/>
                <w:sz w:val="16"/>
                <w:szCs w:val="16"/>
                <w:vertAlign w:val="subscript"/>
              </w:rPr>
              <w:t>2</w:t>
            </w:r>
            <w:r w:rsidRPr="0089303E">
              <w:rPr>
                <w:rFonts w:ascii="Calibri" w:hAnsi="Calibri" w:cs="Calibri"/>
                <w:color w:val="auto"/>
                <w:sz w:val="16"/>
                <w:szCs w:val="16"/>
              </w:rPr>
              <w:t>O).</w:t>
            </w:r>
          </w:p>
          <w:p w14:paraId="120C3025" w14:textId="77777777" w:rsidR="00F12FAE" w:rsidRPr="0089303E" w:rsidRDefault="00F12FAE" w:rsidP="0089303E">
            <w:pPr>
              <w:spacing w:after="6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Informe de emisiones:</w:t>
            </w:r>
          </w:p>
          <w:p w14:paraId="789FAF70" w14:textId="77777777" w:rsidR="00F12FAE" w:rsidRPr="0089303E" w:rsidRDefault="00F12FAE" w:rsidP="00002BC2">
            <w:pPr>
              <w:numPr>
                <w:ilvl w:val="0"/>
                <w:numId w:val="51"/>
              </w:numPr>
              <w:spacing w:after="60"/>
              <w:ind w:left="465"/>
              <w:contextualSpacing/>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89303E">
              <w:rPr>
                <w:rFonts w:ascii="Calibri" w:hAnsi="Calibri" w:cs="Calibri"/>
                <w:b/>
                <w:bCs/>
                <w:color w:val="auto"/>
                <w:sz w:val="16"/>
                <w:szCs w:val="16"/>
              </w:rPr>
              <w:t>Desde 2025</w:t>
            </w:r>
            <w:r w:rsidRPr="0089303E">
              <w:rPr>
                <w:rFonts w:ascii="Calibri" w:hAnsi="Calibri" w:cs="Calibri"/>
                <w:color w:val="auto"/>
                <w:sz w:val="16"/>
                <w:szCs w:val="16"/>
              </w:rPr>
              <w:t xml:space="preserve">, y </w:t>
            </w:r>
            <w:r w:rsidRPr="0089303E">
              <w:rPr>
                <w:rFonts w:ascii="Calibri" w:hAnsi="Calibri" w:cs="Calibri"/>
                <w:b/>
                <w:bCs/>
                <w:color w:val="auto"/>
                <w:sz w:val="16"/>
                <w:szCs w:val="16"/>
              </w:rPr>
              <w:t>antes del 31 de marzo de cada año</w:t>
            </w:r>
            <w:r w:rsidRPr="0089303E">
              <w:rPr>
                <w:rFonts w:ascii="Calibri" w:hAnsi="Calibri" w:cs="Calibri"/>
                <w:color w:val="auto"/>
                <w:sz w:val="16"/>
                <w:szCs w:val="16"/>
              </w:rPr>
              <w:t>, se presentará el informe de emisiones verificado para cada buque y los datos agregados sobre emisiones para el conjunto de la flota.</w:t>
            </w:r>
          </w:p>
        </w:tc>
      </w:tr>
      <w:tr w:rsidR="00F12FAE" w:rsidRPr="0089303E" w14:paraId="1EAF02D4" w14:textId="77777777" w:rsidTr="00435E18">
        <w:trPr>
          <w:cnfStyle w:val="000000100000" w:firstRow="0" w:lastRow="0" w:firstColumn="0" w:lastColumn="0" w:oddVBand="0" w:evenVBand="0" w:oddHBand="1" w:evenHBand="0" w:firstRowFirstColumn="0" w:firstRowLastColumn="0" w:lastRowFirstColumn="0" w:lastRowLastColumn="0"/>
          <w:trHeight w:val="761"/>
        </w:trPr>
        <w:tc>
          <w:tcPr>
            <w:cnfStyle w:val="001000000000" w:firstRow="0" w:lastRow="0" w:firstColumn="1" w:lastColumn="0" w:oddVBand="0" w:evenVBand="0" w:oddHBand="0" w:evenHBand="0" w:firstRowFirstColumn="0" w:firstRowLastColumn="0" w:lastRowFirstColumn="0" w:lastRowLastColumn="0"/>
            <w:tcW w:w="174" w:type="pct"/>
            <w:vMerge/>
            <w:shd w:val="clear" w:color="auto" w:fill="1D3C5A"/>
          </w:tcPr>
          <w:p w14:paraId="0B9A47B3" w14:textId="77777777" w:rsidR="00F12FAE" w:rsidRPr="0089303E" w:rsidRDefault="00F12FAE" w:rsidP="0089303E">
            <w:pPr>
              <w:spacing w:after="60"/>
              <w:jc w:val="center"/>
              <w:rPr>
                <w:rFonts w:ascii="Calibri Light" w:hAnsi="Calibri Light" w:cs="Calibri Light"/>
                <w:color w:val="FFFFFF"/>
                <w:sz w:val="16"/>
                <w:szCs w:val="16"/>
              </w:rPr>
            </w:pPr>
          </w:p>
        </w:tc>
        <w:tc>
          <w:tcPr>
            <w:tcW w:w="652" w:type="pct"/>
            <w:shd w:val="clear" w:color="auto" w:fill="auto"/>
            <w:vAlign w:val="center"/>
          </w:tcPr>
          <w:p w14:paraId="38BD4F7B" w14:textId="2C90200E" w:rsidR="00F12FAE" w:rsidRPr="0089303E" w:rsidRDefault="00F12FAE" w:rsidP="0089303E">
            <w:pPr>
              <w:spacing w:after="60"/>
              <w:jc w:val="left"/>
              <w:cnfStyle w:val="000000100000" w:firstRow="0" w:lastRow="0" w:firstColumn="0" w:lastColumn="0" w:oddVBand="0" w:evenVBand="0" w:oddHBand="1" w:evenHBand="0" w:firstRowFirstColumn="0" w:firstRowLastColumn="0" w:lastRowFirstColumn="0" w:lastRowLastColumn="0"/>
              <w:rPr>
                <w:rFonts w:ascii="Calibri Light" w:hAnsi="Calibri Light" w:cs="Calibri Light"/>
                <w:b/>
                <w:bCs/>
                <w:color w:val="auto"/>
                <w:sz w:val="18"/>
                <w:szCs w:val="18"/>
              </w:rPr>
            </w:pPr>
            <w:r>
              <w:rPr>
                <w:rFonts w:ascii="Calibri Light" w:hAnsi="Calibri Light" w:cs="Calibri Light"/>
                <w:b/>
                <w:bCs/>
                <w:sz w:val="18"/>
                <w:szCs w:val="18"/>
              </w:rPr>
              <w:t xml:space="preserve">EU </w:t>
            </w:r>
            <w:r w:rsidRPr="00377592">
              <w:rPr>
                <w:rFonts w:ascii="Calibri Light" w:hAnsi="Calibri Light" w:cs="Calibri Light"/>
                <w:b/>
                <w:bCs/>
                <w:sz w:val="18"/>
                <w:szCs w:val="18"/>
              </w:rPr>
              <w:t>ETS II</w:t>
            </w:r>
          </w:p>
        </w:tc>
        <w:tc>
          <w:tcPr>
            <w:tcW w:w="869" w:type="pct"/>
            <w:shd w:val="clear" w:color="auto" w:fill="auto"/>
            <w:vAlign w:val="center"/>
          </w:tcPr>
          <w:p w14:paraId="519EF707" w14:textId="77777777" w:rsidR="00F12FAE" w:rsidRPr="0089303E" w:rsidRDefault="00F12FAE" w:rsidP="0089303E">
            <w:pPr>
              <w:spacing w:after="6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En lo que respecta a edificios, determina:</w:t>
            </w:r>
          </w:p>
          <w:p w14:paraId="5A779D1C" w14:textId="77777777" w:rsidR="00F12FAE" w:rsidRPr="0089303E" w:rsidRDefault="00F12FAE" w:rsidP="0089303E">
            <w:pPr>
              <w:numPr>
                <w:ilvl w:val="0"/>
                <w:numId w:val="33"/>
              </w:numPr>
              <w:spacing w:after="60"/>
              <w:ind w:left="458"/>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Las entidades sujetas al régimen son los distribuidores de combustibles utilizados en edificios.</w:t>
            </w:r>
          </w:p>
          <w:p w14:paraId="39D325A5" w14:textId="77777777" w:rsidR="00F12FAE" w:rsidRPr="0089303E" w:rsidRDefault="00F12FAE" w:rsidP="0089303E">
            <w:pPr>
              <w:numPr>
                <w:ilvl w:val="0"/>
                <w:numId w:val="33"/>
              </w:numPr>
              <w:ind w:left="458"/>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Aplica tanto a edificios comerciales como residenciales.</w:t>
            </w:r>
          </w:p>
          <w:p w14:paraId="7458090C" w14:textId="77777777" w:rsidR="00F12FAE" w:rsidRPr="0089303E" w:rsidRDefault="00F12FAE" w:rsidP="0089303E">
            <w:pPr>
              <w:numPr>
                <w:ilvl w:val="0"/>
                <w:numId w:val="33"/>
              </w:numPr>
              <w:spacing w:after="60"/>
              <w:ind w:left="458"/>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 xml:space="preserve">Los derechos de emisión se subastarán independientes al ETS de 2005 </w:t>
            </w:r>
            <w:r w:rsidRPr="0089303E">
              <w:rPr>
                <w:rFonts w:ascii="Calibri" w:hAnsi="Calibri" w:cs="Calibri"/>
                <w:b/>
                <w:bCs/>
                <w:color w:val="auto"/>
                <w:sz w:val="16"/>
                <w:szCs w:val="16"/>
              </w:rPr>
              <w:t>a partir de 2027, pudiendo aplazarse a 2028</w:t>
            </w:r>
            <w:r w:rsidRPr="0089303E">
              <w:rPr>
                <w:rFonts w:ascii="Calibri" w:hAnsi="Calibri" w:cs="Calibri"/>
                <w:color w:val="auto"/>
                <w:sz w:val="16"/>
                <w:szCs w:val="16"/>
              </w:rPr>
              <w:t xml:space="preserve"> si los precios de energía son excepcionalmente altos.</w:t>
            </w:r>
          </w:p>
          <w:p w14:paraId="706016F4" w14:textId="77777777" w:rsidR="00F12FAE" w:rsidRPr="0089303E" w:rsidRDefault="00F12FAE" w:rsidP="0089303E">
            <w:pPr>
              <w:numPr>
                <w:ilvl w:val="0"/>
                <w:numId w:val="33"/>
              </w:numPr>
              <w:spacing w:after="60"/>
              <w:ind w:left="458"/>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 xml:space="preserve">Si el precio del EUA sube de 45€, se libran 20 millones de </w:t>
            </w:r>
            <w:proofErr w:type="spellStart"/>
            <w:r w:rsidRPr="0089303E">
              <w:rPr>
                <w:rFonts w:ascii="Calibri" w:hAnsi="Calibri" w:cs="Calibri"/>
                <w:color w:val="auto"/>
                <w:sz w:val="16"/>
                <w:szCs w:val="16"/>
              </w:rPr>
              <w:t>EUAs</w:t>
            </w:r>
            <w:proofErr w:type="spellEnd"/>
            <w:r w:rsidRPr="0089303E">
              <w:rPr>
                <w:rFonts w:ascii="Calibri" w:hAnsi="Calibri" w:cs="Calibri"/>
                <w:color w:val="auto"/>
                <w:sz w:val="16"/>
                <w:szCs w:val="16"/>
              </w:rPr>
              <w:t xml:space="preserve"> adicionales.</w:t>
            </w:r>
          </w:p>
        </w:tc>
        <w:tc>
          <w:tcPr>
            <w:tcW w:w="740" w:type="pct"/>
            <w:shd w:val="clear" w:color="auto" w:fill="auto"/>
            <w:vAlign w:val="center"/>
          </w:tcPr>
          <w:p w14:paraId="315D89C0" w14:textId="77777777" w:rsidR="00F12FAE" w:rsidRPr="0089303E" w:rsidRDefault="00F12FAE" w:rsidP="0089303E">
            <w:pPr>
              <w:spacing w:after="6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6"/>
                <w:szCs w:val="16"/>
              </w:rPr>
            </w:pPr>
          </w:p>
        </w:tc>
        <w:tc>
          <w:tcPr>
            <w:tcW w:w="870" w:type="pct"/>
            <w:shd w:val="clear" w:color="auto" w:fill="auto"/>
            <w:vAlign w:val="center"/>
          </w:tcPr>
          <w:p w14:paraId="6C7A4F02" w14:textId="77777777" w:rsidR="00F12FAE" w:rsidRPr="0089303E" w:rsidRDefault="00F12FAE" w:rsidP="0089303E">
            <w:pPr>
              <w:spacing w:after="6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6"/>
                <w:szCs w:val="16"/>
              </w:rPr>
            </w:pPr>
          </w:p>
        </w:tc>
        <w:tc>
          <w:tcPr>
            <w:tcW w:w="826" w:type="pct"/>
            <w:shd w:val="clear" w:color="auto" w:fill="auto"/>
            <w:vAlign w:val="center"/>
          </w:tcPr>
          <w:p w14:paraId="2B35EBC6" w14:textId="77777777" w:rsidR="00F12FAE" w:rsidRPr="0089303E" w:rsidRDefault="00F12FAE" w:rsidP="0089303E">
            <w:pPr>
              <w:spacing w:after="6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En lo que respecta al transporte por carretera, determina:</w:t>
            </w:r>
          </w:p>
          <w:p w14:paraId="4EA2E212" w14:textId="77777777" w:rsidR="00F12FAE" w:rsidRPr="0089303E" w:rsidRDefault="00F12FAE" w:rsidP="0089303E">
            <w:pPr>
              <w:numPr>
                <w:ilvl w:val="0"/>
                <w:numId w:val="33"/>
              </w:numPr>
              <w:spacing w:after="60"/>
              <w:ind w:left="458"/>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Las entidades sujetas al régimen son los proveedores de combustibles.</w:t>
            </w:r>
          </w:p>
          <w:p w14:paraId="59C7AFE5" w14:textId="77777777" w:rsidR="00F12FAE" w:rsidRPr="0089303E" w:rsidRDefault="00F12FAE" w:rsidP="0089303E">
            <w:pPr>
              <w:numPr>
                <w:ilvl w:val="0"/>
                <w:numId w:val="33"/>
              </w:numPr>
              <w:ind w:left="458"/>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Aplica tanto a transporte comercial como privado.</w:t>
            </w:r>
          </w:p>
          <w:p w14:paraId="5CB3B87C" w14:textId="77777777" w:rsidR="00F12FAE" w:rsidRPr="0089303E" w:rsidRDefault="00F12FAE" w:rsidP="0089303E">
            <w:pPr>
              <w:numPr>
                <w:ilvl w:val="0"/>
                <w:numId w:val="33"/>
              </w:numPr>
              <w:spacing w:after="60"/>
              <w:ind w:left="458"/>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 xml:space="preserve">Los derechos de emisión se subastarán independientes al ETS de 2005 </w:t>
            </w:r>
            <w:r w:rsidRPr="0089303E">
              <w:rPr>
                <w:rFonts w:ascii="Calibri" w:hAnsi="Calibri" w:cs="Calibri"/>
                <w:b/>
                <w:bCs/>
                <w:color w:val="auto"/>
                <w:sz w:val="16"/>
                <w:szCs w:val="16"/>
              </w:rPr>
              <w:t>a partir de 2027, pudiendo aplazarse a 2028</w:t>
            </w:r>
            <w:r w:rsidRPr="0089303E">
              <w:rPr>
                <w:rFonts w:ascii="Calibri" w:hAnsi="Calibri" w:cs="Calibri"/>
                <w:color w:val="auto"/>
                <w:sz w:val="16"/>
                <w:szCs w:val="16"/>
              </w:rPr>
              <w:t xml:space="preserve"> si los precios de energía son excepcionalmente altos.</w:t>
            </w:r>
          </w:p>
          <w:p w14:paraId="75B95425" w14:textId="77777777" w:rsidR="00F12FAE" w:rsidRPr="0089303E" w:rsidRDefault="00F12FAE" w:rsidP="0089303E">
            <w:pPr>
              <w:numPr>
                <w:ilvl w:val="0"/>
                <w:numId w:val="33"/>
              </w:numPr>
              <w:spacing w:after="60"/>
              <w:ind w:left="458"/>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 xml:space="preserve">Si el precio del EUA sube de 45€, se libran 20 millones de </w:t>
            </w:r>
            <w:proofErr w:type="spellStart"/>
            <w:r w:rsidRPr="0089303E">
              <w:rPr>
                <w:rFonts w:ascii="Calibri" w:hAnsi="Calibri" w:cs="Calibri"/>
                <w:color w:val="auto"/>
                <w:sz w:val="16"/>
                <w:szCs w:val="16"/>
              </w:rPr>
              <w:t>EUAs</w:t>
            </w:r>
            <w:proofErr w:type="spellEnd"/>
            <w:r w:rsidRPr="0089303E">
              <w:rPr>
                <w:rFonts w:ascii="Calibri" w:hAnsi="Calibri" w:cs="Calibri"/>
                <w:color w:val="auto"/>
                <w:sz w:val="16"/>
                <w:szCs w:val="16"/>
              </w:rPr>
              <w:t xml:space="preserve"> adicionales.</w:t>
            </w:r>
          </w:p>
        </w:tc>
        <w:tc>
          <w:tcPr>
            <w:tcW w:w="869" w:type="pct"/>
            <w:shd w:val="clear" w:color="auto" w:fill="auto"/>
            <w:vAlign w:val="center"/>
          </w:tcPr>
          <w:p w14:paraId="61DE0D3F" w14:textId="77777777" w:rsidR="00F12FAE" w:rsidRPr="0089303E" w:rsidRDefault="00F12FAE" w:rsidP="0089303E">
            <w:pPr>
              <w:spacing w:after="6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6"/>
                <w:szCs w:val="16"/>
              </w:rPr>
            </w:pPr>
          </w:p>
        </w:tc>
      </w:tr>
      <w:tr w:rsidR="00F12FAE" w:rsidRPr="0089303E" w14:paraId="7C8D02B2" w14:textId="77777777" w:rsidTr="00435E18">
        <w:trPr>
          <w:trHeight w:val="761"/>
        </w:trPr>
        <w:tc>
          <w:tcPr>
            <w:cnfStyle w:val="001000000000" w:firstRow="0" w:lastRow="0" w:firstColumn="1" w:lastColumn="0" w:oddVBand="0" w:evenVBand="0" w:oddHBand="0" w:evenHBand="0" w:firstRowFirstColumn="0" w:firstRowLastColumn="0" w:lastRowFirstColumn="0" w:lastRowLastColumn="0"/>
            <w:tcW w:w="174" w:type="pct"/>
            <w:vMerge/>
            <w:shd w:val="clear" w:color="auto" w:fill="1D3C5A"/>
          </w:tcPr>
          <w:p w14:paraId="3B0C49CB" w14:textId="77777777" w:rsidR="00F12FAE" w:rsidRPr="0089303E" w:rsidRDefault="00F12FAE" w:rsidP="0089303E">
            <w:pPr>
              <w:spacing w:after="60"/>
              <w:jc w:val="center"/>
              <w:rPr>
                <w:rFonts w:ascii="Calibri Light" w:hAnsi="Calibri Light" w:cs="Calibri Light"/>
                <w:color w:val="FFFFFF"/>
                <w:sz w:val="16"/>
                <w:szCs w:val="16"/>
              </w:rPr>
            </w:pPr>
          </w:p>
        </w:tc>
        <w:tc>
          <w:tcPr>
            <w:tcW w:w="652" w:type="pct"/>
            <w:shd w:val="clear" w:color="auto" w:fill="F6F9FC"/>
            <w:vAlign w:val="center"/>
          </w:tcPr>
          <w:p w14:paraId="6177D539" w14:textId="77777777" w:rsidR="00F12FAE" w:rsidRPr="0089303E" w:rsidRDefault="00F12FAE" w:rsidP="0089303E">
            <w:pPr>
              <w:spacing w:after="60"/>
              <w:jc w:val="left"/>
              <w:cnfStyle w:val="000000000000" w:firstRow="0" w:lastRow="0" w:firstColumn="0" w:lastColumn="0" w:oddVBand="0" w:evenVBand="0" w:oddHBand="0" w:evenHBand="0" w:firstRowFirstColumn="0" w:firstRowLastColumn="0" w:lastRowFirstColumn="0" w:lastRowLastColumn="0"/>
              <w:rPr>
                <w:rFonts w:ascii="Calibri Light" w:hAnsi="Calibri Light" w:cs="Calibri Light"/>
                <w:b/>
                <w:bCs/>
                <w:color w:val="538135"/>
                <w:sz w:val="18"/>
                <w:szCs w:val="18"/>
              </w:rPr>
            </w:pPr>
            <w:r w:rsidRPr="00377592">
              <w:rPr>
                <w:rFonts w:ascii="Calibri Light" w:hAnsi="Calibri Light" w:cs="Calibri Light"/>
                <w:b/>
                <w:bCs/>
                <w:sz w:val="18"/>
                <w:szCs w:val="18"/>
              </w:rPr>
              <w:t>Propuesta de Directiva sobre Fiscalidad de la Energía</w:t>
            </w:r>
          </w:p>
        </w:tc>
        <w:tc>
          <w:tcPr>
            <w:tcW w:w="869" w:type="pct"/>
            <w:shd w:val="clear" w:color="auto" w:fill="F6F9FC"/>
            <w:vAlign w:val="center"/>
          </w:tcPr>
          <w:p w14:paraId="4D3BDBCD" w14:textId="77777777" w:rsidR="00F12FAE" w:rsidRPr="0089303E" w:rsidRDefault="00F12FAE" w:rsidP="00002BC2">
            <w:pPr>
              <w:numPr>
                <w:ilvl w:val="0"/>
                <w:numId w:val="43"/>
              </w:numPr>
              <w:spacing w:after="60"/>
              <w:ind w:left="465"/>
              <w:contextualSpacing/>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Imposición de la energía basada en el contenido energético y su desempeño ambiental, en vez de basada en volumen, como anteriormente.</w:t>
            </w:r>
          </w:p>
          <w:p w14:paraId="0C6C1720" w14:textId="77777777" w:rsidR="00F12FAE" w:rsidRPr="0089303E" w:rsidRDefault="00F12FAE" w:rsidP="00002BC2">
            <w:pPr>
              <w:numPr>
                <w:ilvl w:val="0"/>
                <w:numId w:val="43"/>
              </w:numPr>
              <w:spacing w:after="60"/>
              <w:ind w:left="465"/>
              <w:contextualSpacing/>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Creación de un listado de productos energéticos y definiciones aplicables.</w:t>
            </w:r>
          </w:p>
          <w:p w14:paraId="29BFDD53" w14:textId="77777777" w:rsidR="00F12FAE" w:rsidRPr="0089303E" w:rsidRDefault="00F12FAE" w:rsidP="00002BC2">
            <w:pPr>
              <w:numPr>
                <w:ilvl w:val="0"/>
                <w:numId w:val="43"/>
              </w:numPr>
              <w:spacing w:after="60"/>
              <w:ind w:left="465"/>
              <w:contextualSpacing/>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Aplica a productos energéticos usados como carburantes o como combustibles para calefacción, y la electricidad.</w:t>
            </w:r>
          </w:p>
        </w:tc>
        <w:tc>
          <w:tcPr>
            <w:tcW w:w="740" w:type="pct"/>
            <w:shd w:val="clear" w:color="auto" w:fill="F6F9FC"/>
            <w:vAlign w:val="center"/>
          </w:tcPr>
          <w:p w14:paraId="409A838E" w14:textId="77777777" w:rsidR="00F12FAE" w:rsidRPr="0089303E" w:rsidRDefault="00F12FAE" w:rsidP="0089303E">
            <w:pPr>
              <w:spacing w:after="6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p>
        </w:tc>
        <w:tc>
          <w:tcPr>
            <w:tcW w:w="870" w:type="pct"/>
            <w:shd w:val="clear" w:color="auto" w:fill="F6F9FC"/>
            <w:vAlign w:val="center"/>
          </w:tcPr>
          <w:p w14:paraId="02B5C697" w14:textId="77777777" w:rsidR="00F12FAE" w:rsidRPr="0089303E" w:rsidRDefault="00F12FAE" w:rsidP="00002BC2">
            <w:pPr>
              <w:numPr>
                <w:ilvl w:val="0"/>
                <w:numId w:val="43"/>
              </w:numPr>
              <w:spacing w:after="60"/>
              <w:ind w:left="466"/>
              <w:contextualSpacing/>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Los niveles de imposición mínima de la navegación aérea dentro de la UE de vuelos que no sean de negocios o de recreo partirán de cero, e irán incrementándose anualmente.</w:t>
            </w:r>
          </w:p>
          <w:p w14:paraId="129046D4" w14:textId="77777777" w:rsidR="00F12FAE" w:rsidRPr="0089303E" w:rsidRDefault="00F12FAE" w:rsidP="00002BC2">
            <w:pPr>
              <w:numPr>
                <w:ilvl w:val="0"/>
                <w:numId w:val="43"/>
              </w:numPr>
              <w:spacing w:after="60"/>
              <w:ind w:left="466"/>
              <w:contextualSpacing/>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 xml:space="preserve">En el caso del biogás y los biocarburantes sostenibles, los combustibles de bajas emisiones de carbono, los combustibles renovables de origen no biológico, el biogás y los </w:t>
            </w:r>
            <w:r w:rsidRPr="0089303E">
              <w:rPr>
                <w:rFonts w:ascii="Calibri" w:hAnsi="Calibri" w:cs="Calibri"/>
                <w:color w:val="auto"/>
                <w:sz w:val="16"/>
                <w:szCs w:val="16"/>
              </w:rPr>
              <w:lastRenderedPageBreak/>
              <w:t>biocarburantes sostenibles avanzados, y la electricidad, se aplicará un tipo impositivo mínimo cero durante todo el período transitorio.</w:t>
            </w:r>
          </w:p>
          <w:p w14:paraId="43FA00CB" w14:textId="77777777" w:rsidR="00F12FAE" w:rsidRPr="0089303E" w:rsidRDefault="00F12FAE" w:rsidP="00002BC2">
            <w:pPr>
              <w:numPr>
                <w:ilvl w:val="0"/>
                <w:numId w:val="43"/>
              </w:numPr>
              <w:spacing w:after="60"/>
              <w:ind w:left="466"/>
              <w:contextualSpacing/>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Los productos energéticos y la electricidad que suministran la navegación aérea de vuelos reservados al transporte de mercancías dentro de la UE estarán exentos de imposición.</w:t>
            </w:r>
          </w:p>
          <w:p w14:paraId="68FD4B0D" w14:textId="77777777" w:rsidR="00F12FAE" w:rsidRPr="0089303E" w:rsidRDefault="00F12FAE" w:rsidP="00002BC2">
            <w:pPr>
              <w:numPr>
                <w:ilvl w:val="0"/>
                <w:numId w:val="43"/>
              </w:numPr>
              <w:spacing w:after="60"/>
              <w:ind w:left="466"/>
              <w:contextualSpacing/>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En el caso de la navegación aérea fuera de la UE, los estados miembros podrán aplicar exenciones o aplicar los mismos niveles de imposición que a la navegación aérea dentro de la UE en función del tipo de vuelo.</w:t>
            </w:r>
          </w:p>
          <w:p w14:paraId="583533B9" w14:textId="77777777" w:rsidR="00F12FAE" w:rsidRPr="0089303E" w:rsidRDefault="00F12FAE" w:rsidP="00002BC2">
            <w:pPr>
              <w:numPr>
                <w:ilvl w:val="0"/>
                <w:numId w:val="43"/>
              </w:numPr>
              <w:spacing w:after="60"/>
              <w:ind w:left="466"/>
              <w:contextualSpacing/>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Los Estados miembros de la UE podrán aplicar exenciones totales o parciales a la electricidad suministrada a aeronaves estacionadas.</w:t>
            </w:r>
          </w:p>
        </w:tc>
        <w:tc>
          <w:tcPr>
            <w:tcW w:w="826" w:type="pct"/>
            <w:shd w:val="clear" w:color="auto" w:fill="F6F9FC"/>
            <w:vAlign w:val="center"/>
          </w:tcPr>
          <w:p w14:paraId="0C0E1FAB" w14:textId="77777777" w:rsidR="00F12FAE" w:rsidRPr="0089303E" w:rsidRDefault="00F12FAE" w:rsidP="0089303E">
            <w:pPr>
              <w:spacing w:after="6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p>
        </w:tc>
        <w:tc>
          <w:tcPr>
            <w:tcW w:w="869" w:type="pct"/>
            <w:shd w:val="clear" w:color="auto" w:fill="F6F9FC"/>
            <w:vAlign w:val="center"/>
          </w:tcPr>
          <w:p w14:paraId="14E1A656" w14:textId="77777777" w:rsidR="00F12FAE" w:rsidRPr="0089303E" w:rsidRDefault="00F12FAE" w:rsidP="00002BC2">
            <w:pPr>
              <w:numPr>
                <w:ilvl w:val="0"/>
                <w:numId w:val="43"/>
              </w:numPr>
              <w:spacing w:after="60"/>
              <w:ind w:left="465"/>
              <w:contextualSpacing/>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Tipos impositivos no inferiores a los establecidos en el Anexo I, para los productos energéticos utilizados como combustible y para la electricidad utilizada para la carga de buques eléctricos.</w:t>
            </w:r>
          </w:p>
          <w:p w14:paraId="2FB6E219" w14:textId="77777777" w:rsidR="00F12FAE" w:rsidRPr="0089303E" w:rsidRDefault="00F12FAE" w:rsidP="00002BC2">
            <w:pPr>
              <w:numPr>
                <w:ilvl w:val="1"/>
                <w:numId w:val="43"/>
              </w:numPr>
              <w:spacing w:after="60"/>
              <w:ind w:left="1032"/>
              <w:contextualSpacing/>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 xml:space="preserve">Aplicación: buques mercantes (pasaje y/o carga) y buques de pesca en viajes </w:t>
            </w:r>
            <w:proofErr w:type="spellStart"/>
            <w:r w:rsidRPr="0089303E">
              <w:rPr>
                <w:rFonts w:ascii="Calibri" w:hAnsi="Calibri" w:cs="Calibri"/>
                <w:color w:val="auto"/>
                <w:sz w:val="16"/>
                <w:szCs w:val="16"/>
              </w:rPr>
              <w:t>intra-europeos</w:t>
            </w:r>
            <w:proofErr w:type="spellEnd"/>
            <w:r w:rsidRPr="0089303E">
              <w:rPr>
                <w:rFonts w:ascii="Calibri" w:hAnsi="Calibri" w:cs="Calibri"/>
                <w:color w:val="auto"/>
                <w:sz w:val="16"/>
                <w:szCs w:val="16"/>
              </w:rPr>
              <w:t>.</w:t>
            </w:r>
          </w:p>
          <w:p w14:paraId="160C9D0B" w14:textId="77777777" w:rsidR="00F12FAE" w:rsidRPr="0089303E" w:rsidRDefault="00F12FAE" w:rsidP="00002BC2">
            <w:pPr>
              <w:numPr>
                <w:ilvl w:val="0"/>
                <w:numId w:val="43"/>
              </w:numPr>
              <w:spacing w:after="60"/>
              <w:ind w:left="465"/>
              <w:contextualSpacing/>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lastRenderedPageBreak/>
              <w:t>Tipo impositivo mínimo cero durante todo el periodo transitorio (10 años) para el biogás y los biocarburantes sostenibles, los combustibles de bajas emisiones de carbono, los RFNBO, el biogás, los biocarburantes sostenibles avanzados y la electricidad.</w:t>
            </w:r>
          </w:p>
          <w:p w14:paraId="7CF17F2A" w14:textId="77777777" w:rsidR="00F12FAE" w:rsidRPr="0089303E" w:rsidRDefault="00F12FAE" w:rsidP="00002BC2">
            <w:pPr>
              <w:numPr>
                <w:ilvl w:val="0"/>
                <w:numId w:val="43"/>
              </w:numPr>
              <w:spacing w:after="60"/>
              <w:ind w:left="465"/>
              <w:contextualSpacing/>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En navegación fuera de la UE, se pueden aplicar exenciones.</w:t>
            </w:r>
          </w:p>
          <w:p w14:paraId="57A87C19" w14:textId="77777777" w:rsidR="00F12FAE" w:rsidRPr="0089303E" w:rsidRDefault="00F12FAE" w:rsidP="00002BC2">
            <w:pPr>
              <w:numPr>
                <w:ilvl w:val="0"/>
                <w:numId w:val="43"/>
              </w:numPr>
              <w:spacing w:after="60"/>
              <w:ind w:left="465"/>
              <w:contextualSpacing/>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Los carburantes utilizados en la fabricación, el desarrollo, el ensayo y el mantenimiento de buques, así como los carburantes y la electricidad utilizados en las operaciones de dragado en vías navegables y puertos, estarán sometidos al nivel de imposición previsto en el Anexo I.</w:t>
            </w:r>
          </w:p>
          <w:p w14:paraId="75AD9F13" w14:textId="77777777" w:rsidR="00F12FAE" w:rsidRPr="0089303E" w:rsidRDefault="00F12FAE" w:rsidP="00002BC2">
            <w:pPr>
              <w:numPr>
                <w:ilvl w:val="0"/>
                <w:numId w:val="43"/>
              </w:numPr>
              <w:spacing w:after="60"/>
              <w:ind w:left="465"/>
              <w:contextualSpacing/>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La electricidad generada a bordo de un buque estará exenta de impuestos.</w:t>
            </w:r>
          </w:p>
          <w:p w14:paraId="20BC8D7F" w14:textId="77777777" w:rsidR="00F12FAE" w:rsidRPr="0089303E" w:rsidRDefault="00F12FAE" w:rsidP="00002BC2">
            <w:pPr>
              <w:numPr>
                <w:ilvl w:val="0"/>
                <w:numId w:val="43"/>
              </w:numPr>
              <w:spacing w:after="60"/>
              <w:ind w:left="465"/>
              <w:contextualSpacing/>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Se podrán aplicar exenciones a la electricidad suministrada directamente a los buques atracados en puertos.</w:t>
            </w:r>
          </w:p>
        </w:tc>
      </w:tr>
      <w:tr w:rsidR="00F12FAE" w:rsidRPr="0089303E" w14:paraId="190C6101" w14:textId="77777777" w:rsidTr="00435E18">
        <w:trPr>
          <w:cnfStyle w:val="000000100000" w:firstRow="0" w:lastRow="0" w:firstColumn="0" w:lastColumn="0" w:oddVBand="0" w:evenVBand="0" w:oddHBand="1" w:evenHBand="0" w:firstRowFirstColumn="0" w:firstRowLastColumn="0" w:lastRowFirstColumn="0" w:lastRowLastColumn="0"/>
          <w:trHeight w:val="761"/>
        </w:trPr>
        <w:tc>
          <w:tcPr>
            <w:cnfStyle w:val="001000000000" w:firstRow="0" w:lastRow="0" w:firstColumn="1" w:lastColumn="0" w:oddVBand="0" w:evenVBand="0" w:oddHBand="0" w:evenHBand="0" w:firstRowFirstColumn="0" w:firstRowLastColumn="0" w:lastRowFirstColumn="0" w:lastRowLastColumn="0"/>
            <w:tcW w:w="174" w:type="pct"/>
            <w:vMerge/>
            <w:shd w:val="clear" w:color="auto" w:fill="1D3C5A"/>
          </w:tcPr>
          <w:p w14:paraId="48AD6465" w14:textId="77777777" w:rsidR="00F12FAE" w:rsidRPr="0089303E" w:rsidRDefault="00F12FAE" w:rsidP="0089303E">
            <w:pPr>
              <w:spacing w:after="60"/>
              <w:jc w:val="center"/>
              <w:rPr>
                <w:rFonts w:ascii="Calibri Light" w:hAnsi="Calibri Light" w:cs="Calibri Light"/>
                <w:color w:val="FFFFFF"/>
                <w:sz w:val="16"/>
                <w:szCs w:val="16"/>
              </w:rPr>
            </w:pPr>
          </w:p>
        </w:tc>
        <w:tc>
          <w:tcPr>
            <w:tcW w:w="652" w:type="pct"/>
            <w:shd w:val="clear" w:color="auto" w:fill="auto"/>
            <w:vAlign w:val="center"/>
          </w:tcPr>
          <w:p w14:paraId="3EF148BD" w14:textId="52740E6C" w:rsidR="00F12FAE" w:rsidRPr="00377592" w:rsidRDefault="00F12FAE" w:rsidP="0089303E">
            <w:pPr>
              <w:spacing w:after="60"/>
              <w:jc w:val="left"/>
              <w:cnfStyle w:val="000000100000" w:firstRow="0" w:lastRow="0" w:firstColumn="0" w:lastColumn="0" w:oddVBand="0" w:evenVBand="0" w:oddHBand="1" w:evenHBand="0" w:firstRowFirstColumn="0" w:firstRowLastColumn="0" w:lastRowFirstColumn="0" w:lastRowLastColumn="0"/>
              <w:rPr>
                <w:rFonts w:ascii="Calibri Light" w:hAnsi="Calibri Light" w:cs="Calibri Light"/>
                <w:b/>
                <w:bCs/>
                <w:sz w:val="18"/>
                <w:szCs w:val="18"/>
              </w:rPr>
            </w:pPr>
            <w:r w:rsidRPr="00377592">
              <w:rPr>
                <w:rFonts w:ascii="Calibri Light" w:hAnsi="Calibri Light" w:cs="Calibri Light"/>
                <w:b/>
                <w:bCs/>
                <w:sz w:val="18"/>
                <w:szCs w:val="18"/>
              </w:rPr>
              <w:t>Acuerdo sobre la actualización de la Directiva sobre uso de energía procedente de fuentes renovables</w:t>
            </w:r>
            <w:r>
              <w:rPr>
                <w:rFonts w:ascii="Calibri Light" w:hAnsi="Calibri Light" w:cs="Calibri Light"/>
                <w:b/>
                <w:bCs/>
                <w:sz w:val="18"/>
                <w:szCs w:val="18"/>
              </w:rPr>
              <w:t xml:space="preserve"> (RED II)</w:t>
            </w:r>
          </w:p>
        </w:tc>
        <w:tc>
          <w:tcPr>
            <w:tcW w:w="4174" w:type="pct"/>
            <w:gridSpan w:val="5"/>
            <w:shd w:val="clear" w:color="auto" w:fill="auto"/>
            <w:vAlign w:val="center"/>
          </w:tcPr>
          <w:p w14:paraId="216CAD51" w14:textId="00DFF516" w:rsidR="00F12FAE" w:rsidRPr="002B4469" w:rsidRDefault="00F12FAE" w:rsidP="002B4469">
            <w:pPr>
              <w:spacing w:after="60"/>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s="Calibri"/>
                <w:b/>
                <w:bCs/>
                <w:color w:val="C45911" w:themeColor="accent2" w:themeShade="BF"/>
                <w:sz w:val="16"/>
                <w:szCs w:val="16"/>
              </w:rPr>
            </w:pPr>
            <w:r w:rsidRPr="002B4469">
              <w:rPr>
                <w:rFonts w:ascii="Calibri" w:hAnsi="Calibri" w:cs="Calibri"/>
                <w:b/>
                <w:bCs/>
                <w:color w:val="C45911" w:themeColor="accent2" w:themeShade="BF"/>
                <w:sz w:val="16"/>
                <w:szCs w:val="16"/>
              </w:rPr>
              <w:t>Directiva (UE) 2023/2413 (RED III)</w:t>
            </w:r>
          </w:p>
          <w:p w14:paraId="71276428" w14:textId="154613C5" w:rsidR="00F12FAE" w:rsidRDefault="00F12FAE" w:rsidP="00002BC2">
            <w:pPr>
              <w:numPr>
                <w:ilvl w:val="0"/>
                <w:numId w:val="44"/>
              </w:numPr>
              <w:spacing w:after="60"/>
              <w:ind w:left="461"/>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6"/>
                <w:szCs w:val="16"/>
              </w:rPr>
            </w:pPr>
            <w:r>
              <w:rPr>
                <w:rFonts w:ascii="Calibri" w:hAnsi="Calibri" w:cs="Calibri"/>
                <w:color w:val="auto"/>
                <w:sz w:val="16"/>
                <w:szCs w:val="16"/>
              </w:rPr>
              <w:t xml:space="preserve">Objetivo de 42,5% de energía renovable en el consumo final bruto </w:t>
            </w:r>
            <w:r w:rsidRPr="002B4469">
              <w:rPr>
                <w:rFonts w:ascii="Calibri" w:hAnsi="Calibri" w:cs="Calibri"/>
                <w:b/>
                <w:bCs/>
                <w:color w:val="auto"/>
                <w:sz w:val="16"/>
                <w:szCs w:val="16"/>
              </w:rPr>
              <w:t>para 2030</w:t>
            </w:r>
            <w:r>
              <w:rPr>
                <w:rFonts w:ascii="Calibri" w:hAnsi="Calibri" w:cs="Calibri"/>
                <w:color w:val="auto"/>
                <w:sz w:val="16"/>
                <w:szCs w:val="16"/>
              </w:rPr>
              <w:t>.</w:t>
            </w:r>
          </w:p>
          <w:p w14:paraId="5A9E2B06" w14:textId="0761EC07" w:rsidR="00F12FAE" w:rsidRPr="0089303E" w:rsidRDefault="00F12FAE" w:rsidP="00002BC2">
            <w:pPr>
              <w:numPr>
                <w:ilvl w:val="0"/>
                <w:numId w:val="44"/>
              </w:numPr>
              <w:spacing w:after="60"/>
              <w:ind w:left="461"/>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Objetivo vinculante de reducción del 14,5% de la intensidad de gases de efecto invernadero</w:t>
            </w:r>
            <w:r>
              <w:rPr>
                <w:rFonts w:ascii="Calibri" w:hAnsi="Calibri" w:cs="Calibri"/>
                <w:color w:val="auto"/>
                <w:sz w:val="16"/>
                <w:szCs w:val="16"/>
              </w:rPr>
              <w:t xml:space="preserve"> o 29% den energía renovable</w:t>
            </w:r>
            <w:r w:rsidRPr="0089303E">
              <w:rPr>
                <w:rFonts w:ascii="Calibri" w:hAnsi="Calibri" w:cs="Calibri"/>
                <w:color w:val="auto"/>
                <w:sz w:val="16"/>
                <w:szCs w:val="16"/>
              </w:rPr>
              <w:t xml:space="preserve"> en el transporte mediante el uso de energías renovables </w:t>
            </w:r>
            <w:r w:rsidRPr="0089303E">
              <w:rPr>
                <w:rFonts w:ascii="Calibri" w:hAnsi="Calibri" w:cs="Calibri"/>
                <w:b/>
                <w:bCs/>
                <w:color w:val="auto"/>
                <w:sz w:val="16"/>
                <w:szCs w:val="16"/>
              </w:rPr>
              <w:t>de aquí a 2030</w:t>
            </w:r>
            <w:r w:rsidRPr="0089303E">
              <w:rPr>
                <w:rFonts w:ascii="Calibri" w:hAnsi="Calibri" w:cs="Calibri"/>
                <w:color w:val="auto"/>
                <w:sz w:val="16"/>
                <w:szCs w:val="16"/>
              </w:rPr>
              <w:t>.</w:t>
            </w:r>
          </w:p>
          <w:p w14:paraId="7E66475A" w14:textId="4AB9BBCD" w:rsidR="00F12FAE" w:rsidRPr="0089303E" w:rsidRDefault="00F12FAE" w:rsidP="00002BC2">
            <w:pPr>
              <w:numPr>
                <w:ilvl w:val="0"/>
                <w:numId w:val="44"/>
              </w:numPr>
              <w:spacing w:after="60"/>
              <w:ind w:left="461"/>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Subobjetivo combinado vinculante del 5,5% para los biocombustibles avanzados y los combustibles renovables de origen no biológico</w:t>
            </w:r>
            <w:r>
              <w:rPr>
                <w:rFonts w:ascii="Calibri" w:hAnsi="Calibri" w:cs="Calibri"/>
                <w:color w:val="auto"/>
                <w:sz w:val="16"/>
                <w:szCs w:val="16"/>
              </w:rPr>
              <w:t xml:space="preserve"> (</w:t>
            </w:r>
            <w:proofErr w:type="spellStart"/>
            <w:r>
              <w:rPr>
                <w:rFonts w:ascii="Calibri" w:hAnsi="Calibri" w:cs="Calibri"/>
                <w:color w:val="auto"/>
                <w:sz w:val="16"/>
                <w:szCs w:val="16"/>
              </w:rPr>
              <w:t>RFNBOs</w:t>
            </w:r>
            <w:proofErr w:type="spellEnd"/>
            <w:r>
              <w:rPr>
                <w:rFonts w:ascii="Calibri" w:hAnsi="Calibri" w:cs="Calibri"/>
                <w:color w:val="auto"/>
                <w:sz w:val="16"/>
                <w:szCs w:val="16"/>
              </w:rPr>
              <w:t>)</w:t>
            </w:r>
            <w:r w:rsidRPr="0089303E">
              <w:rPr>
                <w:rFonts w:ascii="Calibri" w:hAnsi="Calibri" w:cs="Calibri"/>
                <w:color w:val="auto"/>
                <w:sz w:val="16"/>
                <w:szCs w:val="16"/>
              </w:rPr>
              <w:t xml:space="preserve"> (principalmente hidrógeno renovable y combustibles sintéticos a base de hidrógeno) en la cuota de energías renovables suministradas.</w:t>
            </w:r>
          </w:p>
          <w:p w14:paraId="266DE930" w14:textId="77777777" w:rsidR="00F12FAE" w:rsidRDefault="00F12FAE" w:rsidP="00002BC2">
            <w:pPr>
              <w:numPr>
                <w:ilvl w:val="1"/>
                <w:numId w:val="44"/>
              </w:numPr>
              <w:spacing w:after="60"/>
              <w:ind w:left="1028"/>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Requisito mínimo del 1% de combustibles renovables de origen no biológico</w:t>
            </w:r>
          </w:p>
          <w:p w14:paraId="34CC34A5" w14:textId="32973885" w:rsidR="00F12FAE" w:rsidRPr="0089303E" w:rsidRDefault="00F12FAE" w:rsidP="00002BC2">
            <w:pPr>
              <w:numPr>
                <w:ilvl w:val="1"/>
                <w:numId w:val="44"/>
              </w:numPr>
              <w:spacing w:after="60"/>
              <w:ind w:left="1028"/>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6"/>
                <w:szCs w:val="16"/>
              </w:rPr>
            </w:pPr>
            <w:r>
              <w:rPr>
                <w:rFonts w:ascii="Calibri" w:hAnsi="Calibri" w:cs="Calibri"/>
                <w:color w:val="auto"/>
                <w:sz w:val="16"/>
                <w:szCs w:val="16"/>
              </w:rPr>
              <w:t>Objetivo mínimo para el sector marítimo de 1,2%.</w:t>
            </w:r>
          </w:p>
        </w:tc>
      </w:tr>
      <w:tr w:rsidR="00F12FAE" w:rsidRPr="0089303E" w14:paraId="124A1F9E" w14:textId="77777777" w:rsidTr="00435E18">
        <w:trPr>
          <w:trHeight w:val="761"/>
        </w:trPr>
        <w:tc>
          <w:tcPr>
            <w:cnfStyle w:val="001000000000" w:firstRow="0" w:lastRow="0" w:firstColumn="1" w:lastColumn="0" w:oddVBand="0" w:evenVBand="0" w:oddHBand="0" w:evenHBand="0" w:firstRowFirstColumn="0" w:firstRowLastColumn="0" w:lastRowFirstColumn="0" w:lastRowLastColumn="0"/>
            <w:tcW w:w="174" w:type="pct"/>
            <w:vMerge/>
            <w:shd w:val="clear" w:color="auto" w:fill="1D3C5A"/>
          </w:tcPr>
          <w:p w14:paraId="0AF22CA6" w14:textId="77777777" w:rsidR="00F12FAE" w:rsidRPr="0089303E" w:rsidRDefault="00F12FAE" w:rsidP="0089303E">
            <w:pPr>
              <w:spacing w:after="60"/>
              <w:jc w:val="center"/>
              <w:rPr>
                <w:rFonts w:ascii="Calibri Light" w:hAnsi="Calibri Light" w:cs="Calibri Light"/>
                <w:color w:val="FFFFFF"/>
                <w:sz w:val="16"/>
                <w:szCs w:val="16"/>
              </w:rPr>
            </w:pPr>
          </w:p>
        </w:tc>
        <w:tc>
          <w:tcPr>
            <w:tcW w:w="652" w:type="pct"/>
            <w:shd w:val="clear" w:color="auto" w:fill="F6F9FC"/>
            <w:vAlign w:val="center"/>
          </w:tcPr>
          <w:p w14:paraId="07A78226" w14:textId="77777777" w:rsidR="00F12FAE" w:rsidRPr="00377592" w:rsidRDefault="00F12FAE" w:rsidP="0089303E">
            <w:pPr>
              <w:spacing w:after="60"/>
              <w:jc w:val="left"/>
              <w:cnfStyle w:val="000000000000" w:firstRow="0" w:lastRow="0" w:firstColumn="0" w:lastColumn="0" w:oddVBand="0" w:evenVBand="0" w:oddHBand="0" w:evenHBand="0" w:firstRowFirstColumn="0" w:firstRowLastColumn="0" w:lastRowFirstColumn="0" w:lastRowLastColumn="0"/>
              <w:rPr>
                <w:rFonts w:ascii="Calibri Light" w:hAnsi="Calibri Light" w:cs="Calibri Light"/>
                <w:b/>
                <w:bCs/>
                <w:sz w:val="18"/>
                <w:szCs w:val="18"/>
              </w:rPr>
            </w:pPr>
            <w:proofErr w:type="spellStart"/>
            <w:r w:rsidRPr="00377592">
              <w:rPr>
                <w:rFonts w:ascii="Calibri Light" w:hAnsi="Calibri Light" w:cs="Calibri Light"/>
                <w:b/>
                <w:bCs/>
                <w:sz w:val="18"/>
                <w:szCs w:val="18"/>
              </w:rPr>
              <w:t>ReFuel</w:t>
            </w:r>
            <w:proofErr w:type="spellEnd"/>
            <w:r w:rsidRPr="00377592">
              <w:rPr>
                <w:rFonts w:ascii="Calibri Light" w:hAnsi="Calibri Light" w:cs="Calibri Light"/>
                <w:b/>
                <w:bCs/>
                <w:sz w:val="18"/>
                <w:szCs w:val="18"/>
              </w:rPr>
              <w:t xml:space="preserve"> EU </w:t>
            </w:r>
            <w:proofErr w:type="spellStart"/>
            <w:r w:rsidRPr="00377592">
              <w:rPr>
                <w:rFonts w:ascii="Calibri Light" w:hAnsi="Calibri Light" w:cs="Calibri Light"/>
                <w:b/>
                <w:bCs/>
                <w:sz w:val="18"/>
                <w:szCs w:val="18"/>
              </w:rPr>
              <w:t>Aviation</w:t>
            </w:r>
            <w:proofErr w:type="spellEnd"/>
          </w:p>
        </w:tc>
        <w:tc>
          <w:tcPr>
            <w:tcW w:w="869" w:type="pct"/>
            <w:shd w:val="clear" w:color="auto" w:fill="F6F9FC"/>
            <w:vAlign w:val="center"/>
          </w:tcPr>
          <w:p w14:paraId="403894DE" w14:textId="77777777" w:rsidR="00F12FAE" w:rsidRPr="0089303E" w:rsidRDefault="00F12FAE" w:rsidP="0089303E">
            <w:pPr>
              <w:spacing w:after="6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p>
        </w:tc>
        <w:tc>
          <w:tcPr>
            <w:tcW w:w="740" w:type="pct"/>
            <w:shd w:val="clear" w:color="auto" w:fill="F6F9FC"/>
            <w:vAlign w:val="center"/>
          </w:tcPr>
          <w:p w14:paraId="55B3D0CE" w14:textId="77777777" w:rsidR="00F12FAE" w:rsidRPr="0089303E" w:rsidRDefault="00F12FAE" w:rsidP="0089303E">
            <w:pPr>
              <w:spacing w:after="6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p>
        </w:tc>
        <w:tc>
          <w:tcPr>
            <w:tcW w:w="870" w:type="pct"/>
            <w:shd w:val="clear" w:color="auto" w:fill="F6F9FC"/>
            <w:vAlign w:val="center"/>
          </w:tcPr>
          <w:p w14:paraId="6E5E459A" w14:textId="77777777" w:rsidR="00F12FAE" w:rsidRPr="0089303E" w:rsidRDefault="00F12FAE" w:rsidP="00002BC2">
            <w:pPr>
              <w:numPr>
                <w:ilvl w:val="0"/>
                <w:numId w:val="49"/>
              </w:numPr>
              <w:spacing w:after="60"/>
              <w:ind w:left="461"/>
              <w:contextualSpacing/>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Los proveedores de combustible deberán aumentar la cantidad de combustible sostenible que suministren de la siguiente manera:</w:t>
            </w:r>
          </w:p>
          <w:p w14:paraId="31A10BD3" w14:textId="77777777" w:rsidR="00F12FAE" w:rsidRPr="0089303E" w:rsidRDefault="00F12FAE" w:rsidP="00002BC2">
            <w:pPr>
              <w:numPr>
                <w:ilvl w:val="1"/>
                <w:numId w:val="49"/>
              </w:numPr>
              <w:spacing w:after="60"/>
              <w:ind w:left="1028"/>
              <w:contextualSpacing/>
              <w:jc w:val="left"/>
              <w:cnfStyle w:val="000000000000" w:firstRow="0" w:lastRow="0" w:firstColumn="0" w:lastColumn="0" w:oddVBand="0" w:evenVBand="0" w:oddHBand="0" w:evenHBand="0" w:firstRowFirstColumn="0" w:firstRowLastColumn="0" w:lastRowFirstColumn="0" w:lastRowLastColumn="0"/>
              <w:rPr>
                <w:rFonts w:ascii="Calibri" w:hAnsi="Calibri" w:cs="Calibri"/>
                <w:b/>
                <w:bCs/>
                <w:color w:val="auto"/>
                <w:sz w:val="16"/>
                <w:szCs w:val="16"/>
              </w:rPr>
            </w:pPr>
            <w:r w:rsidRPr="0089303E">
              <w:rPr>
                <w:rFonts w:ascii="Calibri" w:hAnsi="Calibri" w:cs="Calibri"/>
                <w:b/>
                <w:bCs/>
                <w:color w:val="auto"/>
                <w:sz w:val="16"/>
                <w:szCs w:val="16"/>
              </w:rPr>
              <w:t>2% para 2025</w:t>
            </w:r>
          </w:p>
          <w:p w14:paraId="0A4F6044" w14:textId="77777777" w:rsidR="00F12FAE" w:rsidRPr="0089303E" w:rsidRDefault="00F12FAE" w:rsidP="00002BC2">
            <w:pPr>
              <w:numPr>
                <w:ilvl w:val="1"/>
                <w:numId w:val="49"/>
              </w:numPr>
              <w:spacing w:after="60"/>
              <w:ind w:left="1028"/>
              <w:contextualSpacing/>
              <w:jc w:val="left"/>
              <w:cnfStyle w:val="000000000000" w:firstRow="0" w:lastRow="0" w:firstColumn="0" w:lastColumn="0" w:oddVBand="0" w:evenVBand="0" w:oddHBand="0" w:evenHBand="0" w:firstRowFirstColumn="0" w:firstRowLastColumn="0" w:lastRowFirstColumn="0" w:lastRowLastColumn="0"/>
              <w:rPr>
                <w:rFonts w:ascii="Calibri" w:hAnsi="Calibri" w:cs="Calibri"/>
                <w:b/>
                <w:bCs/>
                <w:color w:val="auto"/>
                <w:sz w:val="16"/>
                <w:szCs w:val="16"/>
              </w:rPr>
            </w:pPr>
            <w:r w:rsidRPr="0089303E">
              <w:rPr>
                <w:rFonts w:ascii="Calibri" w:hAnsi="Calibri" w:cs="Calibri"/>
                <w:b/>
                <w:bCs/>
                <w:color w:val="auto"/>
                <w:sz w:val="16"/>
                <w:szCs w:val="16"/>
              </w:rPr>
              <w:t>6% para 2030</w:t>
            </w:r>
          </w:p>
          <w:p w14:paraId="222CD68A" w14:textId="77777777" w:rsidR="00F12FAE" w:rsidRPr="0089303E" w:rsidRDefault="00F12FAE" w:rsidP="00002BC2">
            <w:pPr>
              <w:numPr>
                <w:ilvl w:val="1"/>
                <w:numId w:val="49"/>
              </w:numPr>
              <w:spacing w:after="60"/>
              <w:ind w:left="1028"/>
              <w:contextualSpacing/>
              <w:jc w:val="left"/>
              <w:cnfStyle w:val="000000000000" w:firstRow="0" w:lastRow="0" w:firstColumn="0" w:lastColumn="0" w:oddVBand="0" w:evenVBand="0" w:oddHBand="0" w:evenHBand="0" w:firstRowFirstColumn="0" w:firstRowLastColumn="0" w:lastRowFirstColumn="0" w:lastRowLastColumn="0"/>
              <w:rPr>
                <w:rFonts w:ascii="Calibri" w:hAnsi="Calibri" w:cs="Calibri"/>
                <w:b/>
                <w:bCs/>
                <w:color w:val="auto"/>
                <w:sz w:val="16"/>
                <w:szCs w:val="16"/>
              </w:rPr>
            </w:pPr>
            <w:r w:rsidRPr="0089303E">
              <w:rPr>
                <w:rFonts w:ascii="Calibri" w:hAnsi="Calibri" w:cs="Calibri"/>
                <w:b/>
                <w:bCs/>
                <w:color w:val="auto"/>
                <w:sz w:val="16"/>
                <w:szCs w:val="16"/>
              </w:rPr>
              <w:lastRenderedPageBreak/>
              <w:t>20% para 2035</w:t>
            </w:r>
          </w:p>
          <w:p w14:paraId="2D2F2AB3" w14:textId="77777777" w:rsidR="00F12FAE" w:rsidRPr="0089303E" w:rsidRDefault="00F12FAE" w:rsidP="00002BC2">
            <w:pPr>
              <w:numPr>
                <w:ilvl w:val="1"/>
                <w:numId w:val="49"/>
              </w:numPr>
              <w:spacing w:after="60"/>
              <w:ind w:left="1028"/>
              <w:contextualSpacing/>
              <w:jc w:val="left"/>
              <w:cnfStyle w:val="000000000000" w:firstRow="0" w:lastRow="0" w:firstColumn="0" w:lastColumn="0" w:oddVBand="0" w:evenVBand="0" w:oddHBand="0" w:evenHBand="0" w:firstRowFirstColumn="0" w:firstRowLastColumn="0" w:lastRowFirstColumn="0" w:lastRowLastColumn="0"/>
              <w:rPr>
                <w:rFonts w:ascii="Calibri" w:hAnsi="Calibri" w:cs="Calibri"/>
                <w:b/>
                <w:bCs/>
                <w:color w:val="auto"/>
                <w:sz w:val="16"/>
                <w:szCs w:val="16"/>
              </w:rPr>
            </w:pPr>
            <w:r w:rsidRPr="0089303E">
              <w:rPr>
                <w:rFonts w:ascii="Calibri" w:hAnsi="Calibri" w:cs="Calibri"/>
                <w:b/>
                <w:bCs/>
                <w:color w:val="auto"/>
                <w:sz w:val="16"/>
                <w:szCs w:val="16"/>
              </w:rPr>
              <w:t>32% para 2040</w:t>
            </w:r>
          </w:p>
          <w:p w14:paraId="0585E235" w14:textId="77777777" w:rsidR="00F12FAE" w:rsidRPr="0089303E" w:rsidRDefault="00F12FAE" w:rsidP="00002BC2">
            <w:pPr>
              <w:numPr>
                <w:ilvl w:val="0"/>
                <w:numId w:val="49"/>
              </w:numPr>
              <w:spacing w:after="60"/>
              <w:ind w:left="461"/>
              <w:contextualSpacing/>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89303E">
              <w:rPr>
                <w:rFonts w:ascii="Calibri" w:hAnsi="Calibri" w:cs="Calibri"/>
                <w:b/>
                <w:bCs/>
                <w:color w:val="auto"/>
                <w:sz w:val="16"/>
                <w:szCs w:val="16"/>
              </w:rPr>
              <w:t>A partir de 2030</w:t>
            </w:r>
            <w:r w:rsidRPr="0089303E">
              <w:rPr>
                <w:rFonts w:ascii="Calibri" w:hAnsi="Calibri" w:cs="Calibri"/>
                <w:color w:val="auto"/>
                <w:sz w:val="16"/>
                <w:szCs w:val="16"/>
              </w:rPr>
              <w:t>, un porcentaje mínimo del combustible sostenible deberá ser sintético.</w:t>
            </w:r>
          </w:p>
          <w:p w14:paraId="7C43C22C" w14:textId="77777777" w:rsidR="00F12FAE" w:rsidRPr="0089303E" w:rsidRDefault="00F12FAE" w:rsidP="00002BC2">
            <w:pPr>
              <w:numPr>
                <w:ilvl w:val="0"/>
                <w:numId w:val="49"/>
              </w:numPr>
              <w:spacing w:after="60"/>
              <w:ind w:left="461"/>
              <w:contextualSpacing/>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Los proveedores de combustible contarán con un periodo transitorio para cumplir con esto.</w:t>
            </w:r>
          </w:p>
          <w:p w14:paraId="4E7D17A8" w14:textId="77777777" w:rsidR="00F12FAE" w:rsidRPr="0089303E" w:rsidRDefault="00F12FAE" w:rsidP="00002BC2">
            <w:pPr>
              <w:numPr>
                <w:ilvl w:val="0"/>
                <w:numId w:val="49"/>
              </w:numPr>
              <w:spacing w:after="60"/>
              <w:ind w:left="461"/>
              <w:contextualSpacing/>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Las aerolíneas que salen de la UE estarán obligadas a abastecer sus aviones con combustibles sostenibles.</w:t>
            </w:r>
          </w:p>
          <w:p w14:paraId="300163AB" w14:textId="77777777" w:rsidR="00F12FAE" w:rsidRPr="0089303E" w:rsidRDefault="00F12FAE" w:rsidP="00002BC2">
            <w:pPr>
              <w:numPr>
                <w:ilvl w:val="0"/>
                <w:numId w:val="49"/>
              </w:numPr>
              <w:spacing w:after="60"/>
              <w:ind w:left="461"/>
              <w:contextualSpacing/>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Las aerolíneas que salen de la UE estarán obligadas a efectuar el repostaje justo para el vuelo, sin excesos, para evitar emisiones por peso.</w:t>
            </w:r>
          </w:p>
          <w:p w14:paraId="3FA5963D" w14:textId="77777777" w:rsidR="00F12FAE" w:rsidRDefault="00F12FAE" w:rsidP="00002BC2">
            <w:pPr>
              <w:numPr>
                <w:ilvl w:val="0"/>
                <w:numId w:val="49"/>
              </w:numPr>
              <w:spacing w:after="60"/>
              <w:ind w:left="461"/>
              <w:contextualSpacing/>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Los aeropuertos de la UE tendrán que garantizar la infraestructura necesaria para suministrar, almacenar y repostar combustibles de aviación sostenibles</w:t>
            </w:r>
          </w:p>
          <w:p w14:paraId="593F7501" w14:textId="77777777" w:rsidR="00F12FAE" w:rsidRDefault="00F12FAE" w:rsidP="0001004B">
            <w:pPr>
              <w:spacing w:after="60"/>
              <w:contextualSpacing/>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p>
          <w:p w14:paraId="6AA2337E" w14:textId="77777777" w:rsidR="00F12FAE" w:rsidRDefault="00F12FAE" w:rsidP="0001004B">
            <w:pPr>
              <w:spacing w:after="60"/>
              <w:contextualSpacing/>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01004B">
              <w:rPr>
                <w:rFonts w:ascii="Calibri" w:hAnsi="Calibri" w:cs="Calibri"/>
                <w:color w:val="auto"/>
                <w:sz w:val="16"/>
                <w:szCs w:val="16"/>
              </w:rPr>
              <w:t>Reglamento (UE) 2023/2405</w:t>
            </w:r>
          </w:p>
          <w:p w14:paraId="42703F02" w14:textId="77777777" w:rsidR="00F12FAE" w:rsidRDefault="00F12FAE" w:rsidP="00002BC2">
            <w:pPr>
              <w:pStyle w:val="Prrafodelista"/>
              <w:numPr>
                <w:ilvl w:val="0"/>
                <w:numId w:val="81"/>
              </w:numPr>
              <w:spacing w:after="60"/>
              <w:ind w:left="463"/>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Pr>
                <w:rFonts w:ascii="Calibri" w:hAnsi="Calibri" w:cs="Calibri"/>
                <w:color w:val="auto"/>
                <w:sz w:val="16"/>
                <w:szCs w:val="16"/>
              </w:rPr>
              <w:t>E</w:t>
            </w:r>
            <w:r w:rsidRPr="0001004B">
              <w:rPr>
                <w:rFonts w:ascii="Calibri" w:hAnsi="Calibri" w:cs="Calibri"/>
                <w:color w:val="auto"/>
                <w:sz w:val="16"/>
                <w:szCs w:val="16"/>
              </w:rPr>
              <w:t>stablece normas para garantizar condiciones de competencia equitativas en el transporte aéreo y promover la sostenibilidad en este sector</w:t>
            </w:r>
          </w:p>
          <w:p w14:paraId="40597694" w14:textId="5A56F951" w:rsidR="00F12FAE" w:rsidRPr="0001004B" w:rsidRDefault="00F12FAE" w:rsidP="00002BC2">
            <w:pPr>
              <w:pStyle w:val="Prrafodelista"/>
              <w:numPr>
                <w:ilvl w:val="0"/>
                <w:numId w:val="81"/>
              </w:numPr>
              <w:spacing w:after="60"/>
              <w:ind w:left="463"/>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Pr>
                <w:rFonts w:ascii="Calibri" w:hAnsi="Calibri" w:cs="Calibri"/>
                <w:color w:val="auto"/>
                <w:sz w:val="16"/>
                <w:szCs w:val="16"/>
              </w:rPr>
              <w:t xml:space="preserve">Aborda </w:t>
            </w:r>
            <w:r w:rsidRPr="0001004B">
              <w:rPr>
                <w:rFonts w:ascii="Calibri" w:hAnsi="Calibri" w:cs="Calibri"/>
                <w:color w:val="auto"/>
                <w:sz w:val="16"/>
                <w:szCs w:val="16"/>
              </w:rPr>
              <w:t>el uso de combustibles sostenibles, la transparencia y el monitoreo de las emisiones y uso de los combustibles, medidas para garantizar la competencia equitativa, y la adaptación de la legislación a normativa y estándares internacionales (especialmente lo referido al Plan CORSIA)</w:t>
            </w:r>
          </w:p>
        </w:tc>
        <w:tc>
          <w:tcPr>
            <w:tcW w:w="826" w:type="pct"/>
            <w:shd w:val="clear" w:color="auto" w:fill="F6F9FC"/>
            <w:vAlign w:val="center"/>
          </w:tcPr>
          <w:p w14:paraId="4326F557" w14:textId="77777777" w:rsidR="00F12FAE" w:rsidRPr="0089303E" w:rsidRDefault="00F12FAE" w:rsidP="0089303E">
            <w:pPr>
              <w:spacing w:after="6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p>
        </w:tc>
        <w:tc>
          <w:tcPr>
            <w:tcW w:w="869" w:type="pct"/>
            <w:shd w:val="clear" w:color="auto" w:fill="F6F9FC"/>
            <w:vAlign w:val="center"/>
          </w:tcPr>
          <w:p w14:paraId="489EE1D2" w14:textId="77777777" w:rsidR="00F12FAE" w:rsidRPr="0089303E" w:rsidRDefault="00F12FAE" w:rsidP="0089303E">
            <w:pPr>
              <w:spacing w:after="6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p>
        </w:tc>
      </w:tr>
      <w:tr w:rsidR="00F12FAE" w:rsidRPr="0089303E" w14:paraId="599EC49C" w14:textId="77777777" w:rsidTr="00435E18">
        <w:trPr>
          <w:cnfStyle w:val="000000100000" w:firstRow="0" w:lastRow="0" w:firstColumn="0" w:lastColumn="0" w:oddVBand="0" w:evenVBand="0" w:oddHBand="1" w:evenHBand="0" w:firstRowFirstColumn="0" w:firstRowLastColumn="0" w:lastRowFirstColumn="0" w:lastRowLastColumn="0"/>
          <w:trHeight w:val="761"/>
        </w:trPr>
        <w:tc>
          <w:tcPr>
            <w:cnfStyle w:val="001000000000" w:firstRow="0" w:lastRow="0" w:firstColumn="1" w:lastColumn="0" w:oddVBand="0" w:evenVBand="0" w:oddHBand="0" w:evenHBand="0" w:firstRowFirstColumn="0" w:firstRowLastColumn="0" w:lastRowFirstColumn="0" w:lastRowLastColumn="0"/>
            <w:tcW w:w="174" w:type="pct"/>
            <w:vMerge/>
            <w:shd w:val="clear" w:color="auto" w:fill="1D3C5A"/>
          </w:tcPr>
          <w:p w14:paraId="40AB9A35" w14:textId="77777777" w:rsidR="00F12FAE" w:rsidRPr="0089303E" w:rsidRDefault="00F12FAE" w:rsidP="0089303E">
            <w:pPr>
              <w:spacing w:after="60"/>
              <w:jc w:val="center"/>
              <w:rPr>
                <w:rFonts w:ascii="Calibri Light" w:hAnsi="Calibri Light" w:cs="Calibri Light"/>
                <w:color w:val="FFFFFF"/>
                <w:sz w:val="16"/>
                <w:szCs w:val="16"/>
              </w:rPr>
            </w:pPr>
          </w:p>
        </w:tc>
        <w:tc>
          <w:tcPr>
            <w:tcW w:w="652" w:type="pct"/>
            <w:shd w:val="clear" w:color="auto" w:fill="auto"/>
            <w:vAlign w:val="center"/>
          </w:tcPr>
          <w:p w14:paraId="1247CABC" w14:textId="77777777" w:rsidR="00F12FAE" w:rsidRPr="0089303E" w:rsidRDefault="00F12FAE" w:rsidP="0089303E">
            <w:pPr>
              <w:spacing w:after="60"/>
              <w:jc w:val="left"/>
              <w:cnfStyle w:val="000000100000" w:firstRow="0" w:lastRow="0" w:firstColumn="0" w:lastColumn="0" w:oddVBand="0" w:evenVBand="0" w:oddHBand="1" w:evenHBand="0" w:firstRowFirstColumn="0" w:firstRowLastColumn="0" w:lastRowFirstColumn="0" w:lastRowLastColumn="0"/>
              <w:rPr>
                <w:rFonts w:ascii="Calibri Light" w:hAnsi="Calibri Light" w:cs="Calibri Light"/>
                <w:b/>
                <w:bCs/>
                <w:color w:val="C45911"/>
                <w:sz w:val="18"/>
                <w:szCs w:val="18"/>
              </w:rPr>
            </w:pPr>
            <w:r w:rsidRPr="00377592">
              <w:rPr>
                <w:rFonts w:ascii="Calibri Light" w:hAnsi="Calibri Light" w:cs="Calibri Light"/>
                <w:b/>
                <w:bCs/>
                <w:sz w:val="18"/>
                <w:szCs w:val="18"/>
              </w:rPr>
              <w:t>Reglamento sobre normas de comportamiento en materia de emisiones de CO</w:t>
            </w:r>
            <w:r w:rsidRPr="00377592">
              <w:rPr>
                <w:rFonts w:ascii="Calibri Light" w:hAnsi="Calibri Light" w:cs="Calibri Light"/>
                <w:b/>
                <w:bCs/>
                <w:sz w:val="18"/>
                <w:szCs w:val="18"/>
                <w:vertAlign w:val="subscript"/>
              </w:rPr>
              <w:t>2</w:t>
            </w:r>
            <w:r w:rsidRPr="00377592">
              <w:rPr>
                <w:rFonts w:ascii="Calibri Light" w:hAnsi="Calibri Light" w:cs="Calibri Light"/>
                <w:b/>
                <w:bCs/>
                <w:sz w:val="18"/>
                <w:szCs w:val="18"/>
              </w:rPr>
              <w:t xml:space="preserve"> para vehículos pesados nuevos</w:t>
            </w:r>
          </w:p>
        </w:tc>
        <w:tc>
          <w:tcPr>
            <w:tcW w:w="869" w:type="pct"/>
            <w:shd w:val="clear" w:color="auto" w:fill="auto"/>
            <w:vAlign w:val="center"/>
          </w:tcPr>
          <w:p w14:paraId="67393BDA" w14:textId="77777777" w:rsidR="00F12FAE" w:rsidRPr="0089303E" w:rsidRDefault="00F12FAE" w:rsidP="0089303E">
            <w:pPr>
              <w:spacing w:after="6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6"/>
                <w:szCs w:val="16"/>
              </w:rPr>
            </w:pPr>
          </w:p>
        </w:tc>
        <w:tc>
          <w:tcPr>
            <w:tcW w:w="740" w:type="pct"/>
            <w:shd w:val="clear" w:color="auto" w:fill="auto"/>
            <w:vAlign w:val="center"/>
          </w:tcPr>
          <w:p w14:paraId="19BA04D2" w14:textId="77777777" w:rsidR="00F12FAE" w:rsidRPr="0089303E" w:rsidRDefault="00F12FAE" w:rsidP="0089303E">
            <w:pPr>
              <w:spacing w:after="6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6"/>
                <w:szCs w:val="16"/>
              </w:rPr>
            </w:pPr>
          </w:p>
        </w:tc>
        <w:tc>
          <w:tcPr>
            <w:tcW w:w="870" w:type="pct"/>
            <w:shd w:val="clear" w:color="auto" w:fill="auto"/>
            <w:vAlign w:val="center"/>
          </w:tcPr>
          <w:p w14:paraId="1057B1FA" w14:textId="77777777" w:rsidR="00F12FAE" w:rsidRPr="0089303E" w:rsidRDefault="00F12FAE" w:rsidP="0089303E">
            <w:pPr>
              <w:spacing w:after="60"/>
              <w:ind w:left="461"/>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6"/>
                <w:szCs w:val="16"/>
              </w:rPr>
            </w:pPr>
          </w:p>
        </w:tc>
        <w:tc>
          <w:tcPr>
            <w:tcW w:w="826" w:type="pct"/>
            <w:shd w:val="clear" w:color="auto" w:fill="auto"/>
            <w:vAlign w:val="center"/>
          </w:tcPr>
          <w:p w14:paraId="0F537474" w14:textId="77777777" w:rsidR="00F12FAE" w:rsidRPr="0089303E" w:rsidRDefault="00F12FAE" w:rsidP="0089303E">
            <w:pPr>
              <w:spacing w:after="6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Objetivos de reducción de emisiones:</w:t>
            </w:r>
          </w:p>
          <w:p w14:paraId="0FA73533" w14:textId="77777777" w:rsidR="00F12FAE" w:rsidRPr="0089303E" w:rsidRDefault="00F12FAE" w:rsidP="00002BC2">
            <w:pPr>
              <w:numPr>
                <w:ilvl w:val="0"/>
                <w:numId w:val="52"/>
              </w:numPr>
              <w:spacing w:after="60"/>
              <w:ind w:left="470"/>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 xml:space="preserve">Para los periodos de comunicación </w:t>
            </w:r>
            <w:r w:rsidRPr="0089303E">
              <w:rPr>
                <w:rFonts w:ascii="Calibri" w:hAnsi="Calibri" w:cs="Calibri"/>
                <w:b/>
                <w:bCs/>
                <w:color w:val="auto"/>
                <w:sz w:val="16"/>
                <w:szCs w:val="16"/>
              </w:rPr>
              <w:t>del año 2025 en adelante, una reducción del 15%</w:t>
            </w:r>
            <w:r w:rsidRPr="0089303E">
              <w:rPr>
                <w:rFonts w:ascii="Calibri" w:hAnsi="Calibri" w:cs="Calibri"/>
                <w:color w:val="auto"/>
                <w:sz w:val="16"/>
                <w:szCs w:val="16"/>
              </w:rPr>
              <w:t xml:space="preserve"> en comparación con las emisiones de CO</w:t>
            </w:r>
            <w:r w:rsidRPr="0089303E">
              <w:rPr>
                <w:rFonts w:ascii="Calibri" w:hAnsi="Calibri" w:cs="Calibri"/>
                <w:color w:val="auto"/>
                <w:sz w:val="16"/>
                <w:szCs w:val="16"/>
                <w:vertAlign w:val="subscript"/>
              </w:rPr>
              <w:t xml:space="preserve">2 </w:t>
            </w:r>
            <w:r w:rsidRPr="0089303E">
              <w:rPr>
                <w:rFonts w:ascii="Calibri" w:hAnsi="Calibri" w:cs="Calibri"/>
                <w:color w:val="auto"/>
                <w:sz w:val="16"/>
                <w:szCs w:val="16"/>
              </w:rPr>
              <w:t>del año de referencia.</w:t>
            </w:r>
          </w:p>
          <w:p w14:paraId="1CB09BB4" w14:textId="77777777" w:rsidR="00F12FAE" w:rsidRPr="0089303E" w:rsidRDefault="00F12FAE" w:rsidP="00002BC2">
            <w:pPr>
              <w:numPr>
                <w:ilvl w:val="0"/>
                <w:numId w:val="52"/>
              </w:numPr>
              <w:spacing w:after="60"/>
              <w:ind w:left="470"/>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 xml:space="preserve">Para los periodos de comunicación </w:t>
            </w:r>
            <w:r w:rsidRPr="0089303E">
              <w:rPr>
                <w:rFonts w:ascii="Calibri" w:hAnsi="Calibri" w:cs="Calibri"/>
                <w:b/>
                <w:bCs/>
                <w:color w:val="auto"/>
                <w:sz w:val="16"/>
                <w:szCs w:val="16"/>
              </w:rPr>
              <w:t xml:space="preserve">del año 2030 en adelante, una reducción del 30% </w:t>
            </w:r>
            <w:r w:rsidRPr="0089303E">
              <w:rPr>
                <w:rFonts w:ascii="Calibri" w:hAnsi="Calibri" w:cs="Calibri"/>
                <w:color w:val="auto"/>
                <w:sz w:val="16"/>
                <w:szCs w:val="16"/>
              </w:rPr>
              <w:t>en comparación con las emisiones de CO</w:t>
            </w:r>
            <w:r w:rsidRPr="0089303E">
              <w:rPr>
                <w:rFonts w:ascii="Calibri" w:hAnsi="Calibri" w:cs="Calibri"/>
                <w:color w:val="auto"/>
                <w:sz w:val="16"/>
                <w:szCs w:val="16"/>
                <w:vertAlign w:val="subscript"/>
              </w:rPr>
              <w:t xml:space="preserve">2 </w:t>
            </w:r>
            <w:r w:rsidRPr="0089303E">
              <w:rPr>
                <w:rFonts w:ascii="Calibri" w:hAnsi="Calibri" w:cs="Calibri"/>
                <w:color w:val="auto"/>
                <w:sz w:val="16"/>
                <w:szCs w:val="16"/>
              </w:rPr>
              <w:t>del año de referencia.</w:t>
            </w:r>
          </w:p>
          <w:p w14:paraId="3E520861" w14:textId="77777777" w:rsidR="00F12FAE" w:rsidRPr="0089303E" w:rsidRDefault="00F12FAE" w:rsidP="0089303E">
            <w:pPr>
              <w:spacing w:after="6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Aplica a vehículos pesados de categoría N2 y N3, con las siguientes características:</w:t>
            </w:r>
          </w:p>
          <w:p w14:paraId="6C184FB8" w14:textId="77777777" w:rsidR="00F12FAE" w:rsidRPr="0089303E" w:rsidRDefault="00F12FAE" w:rsidP="00002BC2">
            <w:pPr>
              <w:numPr>
                <w:ilvl w:val="0"/>
                <w:numId w:val="53"/>
              </w:numPr>
              <w:spacing w:after="60"/>
              <w:ind w:left="470"/>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Camiones rígidos con una configuración de ejes de 4x2 y una masa máxima en carga técnicamente admisible superior a 16 toneladas.</w:t>
            </w:r>
          </w:p>
          <w:p w14:paraId="7BB747EA" w14:textId="77777777" w:rsidR="00F12FAE" w:rsidRPr="0089303E" w:rsidRDefault="00F12FAE" w:rsidP="00002BC2">
            <w:pPr>
              <w:numPr>
                <w:ilvl w:val="0"/>
                <w:numId w:val="53"/>
              </w:numPr>
              <w:spacing w:after="60"/>
              <w:ind w:left="470"/>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Camiones rígidos con una configuración de ejes de 6x2.</w:t>
            </w:r>
          </w:p>
          <w:p w14:paraId="414EE8CC" w14:textId="77777777" w:rsidR="00F12FAE" w:rsidRPr="0089303E" w:rsidRDefault="00F12FAE" w:rsidP="00002BC2">
            <w:pPr>
              <w:numPr>
                <w:ilvl w:val="0"/>
                <w:numId w:val="53"/>
              </w:numPr>
              <w:spacing w:after="60"/>
              <w:ind w:left="470"/>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Tractores con una configuración de ejes de 4x2 y una masa máxima en carga técnicamente admisible superior a 16 toneladas.</w:t>
            </w:r>
          </w:p>
          <w:p w14:paraId="30050DE8" w14:textId="77777777" w:rsidR="00F12FAE" w:rsidRDefault="00F12FAE" w:rsidP="00002BC2">
            <w:pPr>
              <w:numPr>
                <w:ilvl w:val="0"/>
                <w:numId w:val="53"/>
              </w:numPr>
              <w:spacing w:after="60"/>
              <w:ind w:left="470"/>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Tractores con una configuración de ejes de 6x2.</w:t>
            </w:r>
          </w:p>
          <w:p w14:paraId="15358862" w14:textId="77777777" w:rsidR="00F12FAE" w:rsidRPr="00A55766" w:rsidRDefault="00F12FAE" w:rsidP="00A55766">
            <w:pPr>
              <w:spacing w:after="60"/>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s="Calibri"/>
                <w:b/>
                <w:bCs/>
                <w:color w:val="auto"/>
                <w:sz w:val="16"/>
                <w:szCs w:val="16"/>
              </w:rPr>
            </w:pPr>
            <w:r w:rsidRPr="00A55766">
              <w:rPr>
                <w:rFonts w:ascii="Calibri" w:hAnsi="Calibri" w:cs="Calibri"/>
                <w:b/>
                <w:bCs/>
                <w:color w:val="C45911" w:themeColor="accent2" w:themeShade="BF"/>
                <w:sz w:val="16"/>
                <w:szCs w:val="16"/>
              </w:rPr>
              <w:t>Reglamento (UE) 2024/1610</w:t>
            </w:r>
          </w:p>
          <w:p w14:paraId="6E20E95B" w14:textId="77777777" w:rsidR="00F12FAE" w:rsidRDefault="00F12FAE" w:rsidP="00002BC2">
            <w:pPr>
              <w:pStyle w:val="Prrafodelista"/>
              <w:numPr>
                <w:ilvl w:val="0"/>
                <w:numId w:val="82"/>
              </w:numPr>
              <w:spacing w:after="60"/>
              <w:ind w:left="459"/>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6"/>
                <w:szCs w:val="16"/>
              </w:rPr>
            </w:pPr>
            <w:r>
              <w:rPr>
                <w:rFonts w:ascii="Calibri" w:hAnsi="Calibri" w:cs="Calibri"/>
                <w:color w:val="auto"/>
                <w:sz w:val="16"/>
                <w:szCs w:val="16"/>
              </w:rPr>
              <w:t>R</w:t>
            </w:r>
            <w:r w:rsidRPr="00A55766">
              <w:rPr>
                <w:rFonts w:ascii="Calibri" w:hAnsi="Calibri" w:cs="Calibri"/>
                <w:color w:val="auto"/>
                <w:sz w:val="16"/>
                <w:szCs w:val="16"/>
              </w:rPr>
              <w:t>ef</w:t>
            </w:r>
            <w:r>
              <w:rPr>
                <w:rFonts w:ascii="Calibri" w:hAnsi="Calibri" w:cs="Calibri"/>
                <w:color w:val="auto"/>
                <w:sz w:val="16"/>
                <w:szCs w:val="16"/>
              </w:rPr>
              <w:t>uerza</w:t>
            </w:r>
            <w:r w:rsidRPr="00A55766">
              <w:rPr>
                <w:rFonts w:ascii="Calibri" w:hAnsi="Calibri" w:cs="Calibri"/>
                <w:color w:val="auto"/>
                <w:sz w:val="16"/>
                <w:szCs w:val="16"/>
              </w:rPr>
              <w:t xml:space="preserve"> las normas de emisiones de CO</w:t>
            </w:r>
            <w:r w:rsidRPr="00A55766">
              <w:rPr>
                <w:rFonts w:ascii="Calibri" w:hAnsi="Calibri" w:cs="Calibri"/>
                <w:color w:val="auto"/>
                <w:sz w:val="16"/>
                <w:szCs w:val="16"/>
                <w:vertAlign w:val="subscript"/>
              </w:rPr>
              <w:t>2</w:t>
            </w:r>
            <w:r w:rsidRPr="00A55766">
              <w:rPr>
                <w:rFonts w:ascii="Calibri" w:hAnsi="Calibri" w:cs="Calibri"/>
                <w:color w:val="auto"/>
                <w:sz w:val="16"/>
                <w:szCs w:val="16"/>
              </w:rPr>
              <w:t xml:space="preserve"> para vehículos pesados nuevos y establece nuevas obligaciones de comunicación</w:t>
            </w:r>
            <w:r>
              <w:rPr>
                <w:rFonts w:ascii="Calibri" w:hAnsi="Calibri" w:cs="Calibri"/>
                <w:color w:val="auto"/>
                <w:sz w:val="16"/>
                <w:szCs w:val="16"/>
              </w:rPr>
              <w:t>.</w:t>
            </w:r>
          </w:p>
          <w:p w14:paraId="02B3113A" w14:textId="77777777" w:rsidR="00F12FAE" w:rsidRPr="00A55766" w:rsidRDefault="00F12FAE" w:rsidP="00A55766">
            <w:pPr>
              <w:spacing w:after="60"/>
              <w:jc w:val="left"/>
              <w:cnfStyle w:val="000000100000" w:firstRow="0" w:lastRow="0" w:firstColumn="0" w:lastColumn="0" w:oddVBand="0" w:evenVBand="0" w:oddHBand="1" w:evenHBand="0" w:firstRowFirstColumn="0" w:firstRowLastColumn="0" w:lastRowFirstColumn="0" w:lastRowLastColumn="0"/>
              <w:rPr>
                <w:rFonts w:ascii="Calibri" w:hAnsi="Calibri" w:cs="Calibri"/>
                <w:b/>
                <w:bCs/>
                <w:color w:val="auto"/>
                <w:sz w:val="16"/>
                <w:szCs w:val="16"/>
              </w:rPr>
            </w:pPr>
            <w:r w:rsidRPr="00A55766">
              <w:rPr>
                <w:rFonts w:ascii="Calibri" w:hAnsi="Calibri" w:cs="Calibri"/>
                <w:b/>
                <w:bCs/>
                <w:color w:val="C45911" w:themeColor="accent2" w:themeShade="BF"/>
                <w:sz w:val="16"/>
                <w:szCs w:val="16"/>
              </w:rPr>
              <w:t xml:space="preserve">Reglamento </w:t>
            </w:r>
            <w:proofErr w:type="gramStart"/>
            <w:r w:rsidRPr="00A55766">
              <w:rPr>
                <w:rFonts w:ascii="Calibri" w:hAnsi="Calibri" w:cs="Calibri"/>
                <w:b/>
                <w:bCs/>
                <w:color w:val="C45911" w:themeColor="accent2" w:themeShade="BF"/>
                <w:sz w:val="16"/>
                <w:szCs w:val="16"/>
              </w:rPr>
              <w:t>Delegado</w:t>
            </w:r>
            <w:proofErr w:type="gramEnd"/>
            <w:r w:rsidRPr="00A55766">
              <w:rPr>
                <w:rFonts w:ascii="Calibri" w:hAnsi="Calibri" w:cs="Calibri"/>
                <w:b/>
                <w:bCs/>
                <w:color w:val="C45911" w:themeColor="accent2" w:themeShade="BF"/>
                <w:sz w:val="16"/>
                <w:szCs w:val="16"/>
              </w:rPr>
              <w:t xml:space="preserve"> (UE) 2024/1127</w:t>
            </w:r>
          </w:p>
          <w:p w14:paraId="506BD5E9" w14:textId="77777777" w:rsidR="00F12FAE" w:rsidRDefault="00F12FAE" w:rsidP="00002BC2">
            <w:pPr>
              <w:pStyle w:val="Prrafodelista"/>
              <w:numPr>
                <w:ilvl w:val="0"/>
                <w:numId w:val="82"/>
              </w:numPr>
              <w:spacing w:after="60"/>
              <w:ind w:left="459"/>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6"/>
                <w:szCs w:val="16"/>
              </w:rPr>
            </w:pPr>
            <w:r>
              <w:rPr>
                <w:rFonts w:ascii="Calibri" w:hAnsi="Calibri" w:cs="Calibri"/>
                <w:color w:val="auto"/>
                <w:sz w:val="16"/>
                <w:szCs w:val="16"/>
              </w:rPr>
              <w:t>E</w:t>
            </w:r>
            <w:r w:rsidRPr="00A55766">
              <w:rPr>
                <w:rFonts w:ascii="Calibri" w:hAnsi="Calibri" w:cs="Calibri"/>
                <w:color w:val="auto"/>
                <w:sz w:val="16"/>
                <w:szCs w:val="16"/>
              </w:rPr>
              <w:t>stablece las normas y criterios para verificar las emisiones de CO</w:t>
            </w:r>
            <w:r w:rsidRPr="00A55766">
              <w:rPr>
                <w:rFonts w:ascii="Calibri" w:hAnsi="Calibri" w:cs="Calibri"/>
                <w:color w:val="auto"/>
                <w:sz w:val="16"/>
                <w:szCs w:val="16"/>
                <w:vertAlign w:val="subscript"/>
              </w:rPr>
              <w:t>2</w:t>
            </w:r>
            <w:r w:rsidRPr="00A55766">
              <w:rPr>
                <w:rFonts w:ascii="Calibri" w:hAnsi="Calibri" w:cs="Calibri"/>
                <w:color w:val="auto"/>
                <w:sz w:val="16"/>
                <w:szCs w:val="16"/>
              </w:rPr>
              <w:t xml:space="preserve"> y el </w:t>
            </w:r>
            <w:r w:rsidRPr="00A55766">
              <w:rPr>
                <w:rFonts w:ascii="Calibri" w:hAnsi="Calibri" w:cs="Calibri"/>
                <w:color w:val="auto"/>
                <w:sz w:val="16"/>
                <w:szCs w:val="16"/>
              </w:rPr>
              <w:lastRenderedPageBreak/>
              <w:t>consumo de combustible de los vehículos pesados en circulación</w:t>
            </w:r>
            <w:r>
              <w:rPr>
                <w:rFonts w:ascii="Calibri" w:hAnsi="Calibri" w:cs="Calibri"/>
                <w:color w:val="auto"/>
                <w:sz w:val="16"/>
                <w:szCs w:val="16"/>
              </w:rPr>
              <w:t>.</w:t>
            </w:r>
          </w:p>
          <w:p w14:paraId="446BAD95" w14:textId="77777777" w:rsidR="00F12FAE" w:rsidRPr="00A55766" w:rsidRDefault="00F12FAE" w:rsidP="00A55766">
            <w:pPr>
              <w:spacing w:after="60"/>
              <w:jc w:val="left"/>
              <w:cnfStyle w:val="000000100000" w:firstRow="0" w:lastRow="0" w:firstColumn="0" w:lastColumn="0" w:oddVBand="0" w:evenVBand="0" w:oddHBand="1" w:evenHBand="0" w:firstRowFirstColumn="0" w:firstRowLastColumn="0" w:lastRowFirstColumn="0" w:lastRowLastColumn="0"/>
              <w:rPr>
                <w:rFonts w:ascii="Calibri" w:hAnsi="Calibri" w:cs="Calibri"/>
                <w:b/>
                <w:bCs/>
                <w:color w:val="C45911" w:themeColor="accent2" w:themeShade="BF"/>
                <w:sz w:val="16"/>
                <w:szCs w:val="16"/>
              </w:rPr>
            </w:pPr>
            <w:r w:rsidRPr="00A55766">
              <w:rPr>
                <w:rFonts w:ascii="Calibri" w:hAnsi="Calibri" w:cs="Calibri"/>
                <w:b/>
                <w:bCs/>
                <w:color w:val="C45911" w:themeColor="accent2" w:themeShade="BF"/>
                <w:sz w:val="16"/>
                <w:szCs w:val="16"/>
              </w:rPr>
              <w:t>Decisión de Ejecución (UE) 2024/2165</w:t>
            </w:r>
          </w:p>
          <w:p w14:paraId="0B45BFA4" w14:textId="0D52E28F" w:rsidR="00F12FAE" w:rsidRPr="00A55766" w:rsidRDefault="00F12FAE" w:rsidP="00002BC2">
            <w:pPr>
              <w:pStyle w:val="Prrafodelista"/>
              <w:numPr>
                <w:ilvl w:val="0"/>
                <w:numId w:val="82"/>
              </w:numPr>
              <w:spacing w:after="60"/>
              <w:ind w:left="459"/>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6"/>
                <w:szCs w:val="16"/>
              </w:rPr>
            </w:pPr>
            <w:r>
              <w:rPr>
                <w:rFonts w:ascii="Calibri" w:hAnsi="Calibri" w:cs="Calibri"/>
                <w:color w:val="auto"/>
                <w:sz w:val="16"/>
                <w:szCs w:val="16"/>
              </w:rPr>
              <w:t>E</w:t>
            </w:r>
            <w:r w:rsidRPr="00A55766">
              <w:rPr>
                <w:rFonts w:ascii="Calibri" w:hAnsi="Calibri" w:cs="Calibri"/>
                <w:color w:val="auto"/>
                <w:sz w:val="16"/>
                <w:szCs w:val="16"/>
              </w:rPr>
              <w:t>stablece las emisiones específicas medias de CO</w:t>
            </w:r>
            <w:r w:rsidRPr="00A55766">
              <w:rPr>
                <w:rFonts w:ascii="Calibri" w:hAnsi="Calibri" w:cs="Calibri"/>
                <w:color w:val="auto"/>
                <w:sz w:val="16"/>
                <w:szCs w:val="16"/>
                <w:vertAlign w:val="subscript"/>
              </w:rPr>
              <w:t>2</w:t>
            </w:r>
            <w:r w:rsidRPr="00A55766">
              <w:rPr>
                <w:rFonts w:ascii="Calibri" w:hAnsi="Calibri" w:cs="Calibri"/>
                <w:color w:val="auto"/>
                <w:sz w:val="16"/>
                <w:szCs w:val="16"/>
              </w:rPr>
              <w:t xml:space="preserve"> para vehículos pesados nuevos en la Unión Europea</w:t>
            </w:r>
          </w:p>
        </w:tc>
        <w:tc>
          <w:tcPr>
            <w:tcW w:w="869" w:type="pct"/>
            <w:shd w:val="clear" w:color="auto" w:fill="auto"/>
            <w:vAlign w:val="center"/>
          </w:tcPr>
          <w:p w14:paraId="0DD5AEC7" w14:textId="77777777" w:rsidR="00F12FAE" w:rsidRPr="0089303E" w:rsidRDefault="00F12FAE" w:rsidP="0089303E">
            <w:pPr>
              <w:spacing w:after="6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6"/>
                <w:szCs w:val="16"/>
              </w:rPr>
            </w:pPr>
          </w:p>
        </w:tc>
      </w:tr>
      <w:tr w:rsidR="00F12FAE" w:rsidRPr="0089303E" w14:paraId="5E0A1C64" w14:textId="77777777" w:rsidTr="00435E18">
        <w:trPr>
          <w:trHeight w:val="761"/>
        </w:trPr>
        <w:tc>
          <w:tcPr>
            <w:cnfStyle w:val="001000000000" w:firstRow="0" w:lastRow="0" w:firstColumn="1" w:lastColumn="0" w:oddVBand="0" w:evenVBand="0" w:oddHBand="0" w:evenHBand="0" w:firstRowFirstColumn="0" w:firstRowLastColumn="0" w:lastRowFirstColumn="0" w:lastRowLastColumn="0"/>
            <w:tcW w:w="174" w:type="pct"/>
            <w:vMerge/>
            <w:shd w:val="clear" w:color="auto" w:fill="1D3C5A"/>
          </w:tcPr>
          <w:p w14:paraId="3AE976FA" w14:textId="77777777" w:rsidR="00F12FAE" w:rsidRPr="0089303E" w:rsidRDefault="00F12FAE" w:rsidP="0089303E">
            <w:pPr>
              <w:spacing w:after="60"/>
              <w:jc w:val="center"/>
              <w:rPr>
                <w:rFonts w:ascii="Calibri Light" w:hAnsi="Calibri Light" w:cs="Calibri Light"/>
                <w:color w:val="FFFFFF"/>
                <w:sz w:val="16"/>
                <w:szCs w:val="16"/>
              </w:rPr>
            </w:pPr>
          </w:p>
        </w:tc>
        <w:tc>
          <w:tcPr>
            <w:tcW w:w="652" w:type="pct"/>
            <w:shd w:val="clear" w:color="auto" w:fill="F6F9FC"/>
            <w:vAlign w:val="center"/>
          </w:tcPr>
          <w:p w14:paraId="29863AA6" w14:textId="77777777" w:rsidR="00F12FAE" w:rsidRPr="0089303E" w:rsidRDefault="00F12FAE" w:rsidP="0089303E">
            <w:pPr>
              <w:spacing w:after="60"/>
              <w:jc w:val="left"/>
              <w:cnfStyle w:val="000000000000" w:firstRow="0" w:lastRow="0" w:firstColumn="0" w:lastColumn="0" w:oddVBand="0" w:evenVBand="0" w:oddHBand="0" w:evenHBand="0" w:firstRowFirstColumn="0" w:firstRowLastColumn="0" w:lastRowFirstColumn="0" w:lastRowLastColumn="0"/>
              <w:rPr>
                <w:rFonts w:ascii="Calibri Light" w:hAnsi="Calibri Light" w:cs="Calibri Light"/>
                <w:b/>
                <w:bCs/>
                <w:color w:val="C45911"/>
                <w:sz w:val="18"/>
                <w:szCs w:val="18"/>
              </w:rPr>
            </w:pPr>
            <w:r w:rsidRPr="00377592">
              <w:rPr>
                <w:rFonts w:ascii="Calibri Light" w:hAnsi="Calibri Light" w:cs="Calibri Light"/>
                <w:b/>
                <w:bCs/>
                <w:sz w:val="18"/>
                <w:szCs w:val="18"/>
              </w:rPr>
              <w:t>Reglamento sobre las normas de comportamiento en materia de emisiones de CO</w:t>
            </w:r>
            <w:r w:rsidRPr="00377592">
              <w:rPr>
                <w:rFonts w:ascii="Calibri Light" w:hAnsi="Calibri Light" w:cs="Calibri Light"/>
                <w:b/>
                <w:bCs/>
                <w:sz w:val="18"/>
                <w:szCs w:val="18"/>
                <w:vertAlign w:val="subscript"/>
              </w:rPr>
              <w:t xml:space="preserve">2 </w:t>
            </w:r>
            <w:r w:rsidRPr="00377592">
              <w:rPr>
                <w:rFonts w:ascii="Calibri Light" w:hAnsi="Calibri Light" w:cs="Calibri Light"/>
                <w:b/>
                <w:bCs/>
                <w:sz w:val="18"/>
                <w:szCs w:val="18"/>
              </w:rPr>
              <w:t>de turismos y furgonetas nuevos</w:t>
            </w:r>
          </w:p>
        </w:tc>
        <w:tc>
          <w:tcPr>
            <w:tcW w:w="869" w:type="pct"/>
            <w:shd w:val="clear" w:color="auto" w:fill="F6F9FC"/>
            <w:vAlign w:val="center"/>
          </w:tcPr>
          <w:p w14:paraId="1D84C660" w14:textId="77777777" w:rsidR="00F12FAE" w:rsidRPr="0089303E" w:rsidRDefault="00F12FAE" w:rsidP="0089303E">
            <w:pPr>
              <w:spacing w:after="6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p>
        </w:tc>
        <w:tc>
          <w:tcPr>
            <w:tcW w:w="740" w:type="pct"/>
            <w:shd w:val="clear" w:color="auto" w:fill="F6F9FC"/>
            <w:vAlign w:val="center"/>
          </w:tcPr>
          <w:p w14:paraId="09BB2313" w14:textId="77777777" w:rsidR="00F12FAE" w:rsidRPr="0089303E" w:rsidRDefault="00F12FAE" w:rsidP="0089303E">
            <w:pPr>
              <w:spacing w:after="6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p>
        </w:tc>
        <w:tc>
          <w:tcPr>
            <w:tcW w:w="870" w:type="pct"/>
            <w:shd w:val="clear" w:color="auto" w:fill="F6F9FC"/>
            <w:vAlign w:val="center"/>
          </w:tcPr>
          <w:p w14:paraId="6B3D4D57" w14:textId="77777777" w:rsidR="00F12FAE" w:rsidRPr="0089303E" w:rsidRDefault="00F12FAE" w:rsidP="0089303E">
            <w:pPr>
              <w:spacing w:after="60"/>
              <w:ind w:left="461"/>
              <w:contextualSpacing/>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p>
        </w:tc>
        <w:tc>
          <w:tcPr>
            <w:tcW w:w="826" w:type="pct"/>
            <w:shd w:val="clear" w:color="auto" w:fill="F6F9FC"/>
            <w:vAlign w:val="center"/>
          </w:tcPr>
          <w:p w14:paraId="29CD00B6" w14:textId="77777777" w:rsidR="00F12FAE" w:rsidRPr="0089303E" w:rsidRDefault="00F12FAE" w:rsidP="0089303E">
            <w:pPr>
              <w:spacing w:after="6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Objetivos de reducción de emisiones:</w:t>
            </w:r>
          </w:p>
          <w:p w14:paraId="38A11491" w14:textId="77777777" w:rsidR="00F12FAE" w:rsidRPr="0089303E" w:rsidRDefault="00F12FAE" w:rsidP="00002BC2">
            <w:pPr>
              <w:numPr>
                <w:ilvl w:val="0"/>
                <w:numId w:val="68"/>
              </w:numPr>
              <w:spacing w:after="60"/>
              <w:ind w:left="468"/>
              <w:contextualSpacing/>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89303E">
              <w:rPr>
                <w:rFonts w:ascii="Calibri" w:hAnsi="Calibri" w:cs="Calibri"/>
                <w:b/>
                <w:bCs/>
                <w:color w:val="auto"/>
                <w:sz w:val="16"/>
                <w:szCs w:val="16"/>
              </w:rPr>
              <w:t>Entre 2030 y 2034</w:t>
            </w:r>
            <w:r w:rsidRPr="0089303E">
              <w:rPr>
                <w:rFonts w:ascii="Calibri" w:hAnsi="Calibri" w:cs="Calibri"/>
                <w:color w:val="auto"/>
                <w:sz w:val="16"/>
                <w:szCs w:val="16"/>
              </w:rPr>
              <w:t>, una reducción de las emisiones de CO</w:t>
            </w:r>
            <w:r w:rsidRPr="0089303E">
              <w:rPr>
                <w:rFonts w:ascii="Calibri" w:hAnsi="Calibri" w:cs="Calibri"/>
                <w:color w:val="auto"/>
                <w:sz w:val="16"/>
                <w:szCs w:val="16"/>
                <w:vertAlign w:val="subscript"/>
              </w:rPr>
              <w:t>2</w:t>
            </w:r>
            <w:r w:rsidRPr="0089303E">
              <w:rPr>
                <w:rFonts w:ascii="Calibri" w:hAnsi="Calibri" w:cs="Calibri"/>
                <w:color w:val="auto"/>
                <w:sz w:val="16"/>
                <w:szCs w:val="16"/>
              </w:rPr>
              <w:t xml:space="preserve"> del 55% para los turismos nuevos y del 50% para las furgonetas nuevas con respecto a los niveles de 2021.</w:t>
            </w:r>
          </w:p>
          <w:p w14:paraId="169EDF56" w14:textId="77777777" w:rsidR="00F12FAE" w:rsidRPr="0089303E" w:rsidRDefault="00F12FAE" w:rsidP="00002BC2">
            <w:pPr>
              <w:numPr>
                <w:ilvl w:val="0"/>
                <w:numId w:val="68"/>
              </w:numPr>
              <w:spacing w:after="60"/>
              <w:ind w:left="468"/>
              <w:contextualSpacing/>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89303E">
              <w:rPr>
                <w:rFonts w:ascii="Calibri" w:hAnsi="Calibri" w:cs="Calibri"/>
                <w:b/>
                <w:bCs/>
                <w:color w:val="auto"/>
                <w:sz w:val="16"/>
                <w:szCs w:val="16"/>
              </w:rPr>
              <w:t>A partir de 2035</w:t>
            </w:r>
            <w:r w:rsidRPr="0089303E">
              <w:rPr>
                <w:rFonts w:ascii="Calibri" w:hAnsi="Calibri" w:cs="Calibri"/>
                <w:color w:val="auto"/>
                <w:sz w:val="16"/>
                <w:szCs w:val="16"/>
              </w:rPr>
              <w:t>, una reducción de las emisiones de CO</w:t>
            </w:r>
            <w:r w:rsidRPr="0089303E">
              <w:rPr>
                <w:rFonts w:ascii="Calibri" w:hAnsi="Calibri" w:cs="Calibri"/>
                <w:color w:val="auto"/>
                <w:sz w:val="16"/>
                <w:szCs w:val="16"/>
                <w:vertAlign w:val="subscript"/>
              </w:rPr>
              <w:t>2</w:t>
            </w:r>
            <w:r w:rsidRPr="0089303E">
              <w:rPr>
                <w:rFonts w:ascii="Calibri" w:hAnsi="Calibri" w:cs="Calibri"/>
                <w:color w:val="auto"/>
                <w:sz w:val="16"/>
                <w:szCs w:val="16"/>
              </w:rPr>
              <w:t xml:space="preserve"> del 100% tanto para los turismos como para las furgonetas nuevos.</w:t>
            </w:r>
          </w:p>
          <w:p w14:paraId="67EAA5DB" w14:textId="77777777" w:rsidR="00F12FAE" w:rsidRPr="0089303E" w:rsidRDefault="00F12FAE" w:rsidP="00002BC2">
            <w:pPr>
              <w:numPr>
                <w:ilvl w:val="0"/>
                <w:numId w:val="68"/>
              </w:numPr>
              <w:spacing w:after="60"/>
              <w:ind w:left="468"/>
              <w:contextualSpacing/>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El Reglamento mantiene una excepción para los pequeños fabricantes hasta el final de 2035.</w:t>
            </w:r>
          </w:p>
          <w:p w14:paraId="2FE9A491" w14:textId="77777777" w:rsidR="00F12FAE" w:rsidRPr="0089303E" w:rsidRDefault="00F12FAE" w:rsidP="0089303E">
            <w:pPr>
              <w:spacing w:after="6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Mecanismo normativo de incentivos a los vehículos de emisiones cero y bajas emisiones:</w:t>
            </w:r>
          </w:p>
          <w:p w14:paraId="315B18A2" w14:textId="77777777" w:rsidR="00F12FAE" w:rsidRPr="0089303E" w:rsidRDefault="00F12FAE" w:rsidP="00002BC2">
            <w:pPr>
              <w:numPr>
                <w:ilvl w:val="0"/>
                <w:numId w:val="69"/>
              </w:numPr>
              <w:spacing w:after="60"/>
              <w:ind w:left="468"/>
              <w:contextualSpacing/>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 xml:space="preserve">Se pondrá en marcha en 2025 y estará en vigor </w:t>
            </w:r>
            <w:r w:rsidRPr="0089303E">
              <w:rPr>
                <w:rFonts w:ascii="Calibri" w:hAnsi="Calibri" w:cs="Calibri"/>
                <w:b/>
                <w:bCs/>
                <w:color w:val="auto"/>
                <w:sz w:val="16"/>
                <w:szCs w:val="16"/>
              </w:rPr>
              <w:t>hasta 2029</w:t>
            </w:r>
            <w:r w:rsidRPr="0089303E">
              <w:rPr>
                <w:rFonts w:ascii="Calibri" w:hAnsi="Calibri" w:cs="Calibri"/>
                <w:color w:val="auto"/>
                <w:sz w:val="16"/>
                <w:szCs w:val="16"/>
              </w:rPr>
              <w:t>.</w:t>
            </w:r>
          </w:p>
          <w:p w14:paraId="0ECCBD0C" w14:textId="77777777" w:rsidR="00F12FAE" w:rsidRPr="0089303E" w:rsidRDefault="00F12FAE" w:rsidP="00002BC2">
            <w:pPr>
              <w:numPr>
                <w:ilvl w:val="0"/>
                <w:numId w:val="69"/>
              </w:numPr>
              <w:spacing w:after="60"/>
              <w:ind w:left="468"/>
              <w:contextualSpacing/>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Si un fabricante alcanza determinados niveles de venta de vehículos de emisión cero y de baja emisión, se le podrá recompensar con unos objetivos de emisiones de CO</w:t>
            </w:r>
            <w:r w:rsidRPr="0089303E">
              <w:rPr>
                <w:rFonts w:ascii="Calibri" w:hAnsi="Calibri" w:cs="Calibri"/>
                <w:color w:val="auto"/>
                <w:sz w:val="16"/>
                <w:szCs w:val="16"/>
                <w:vertAlign w:val="subscript"/>
              </w:rPr>
              <w:t>2</w:t>
            </w:r>
            <w:r w:rsidRPr="0089303E">
              <w:rPr>
                <w:rFonts w:ascii="Calibri" w:hAnsi="Calibri" w:cs="Calibri"/>
                <w:color w:val="auto"/>
                <w:sz w:val="16"/>
                <w:szCs w:val="16"/>
              </w:rPr>
              <w:t xml:space="preserve"> menos estrictos.</w:t>
            </w:r>
          </w:p>
          <w:p w14:paraId="5F7D1FB1" w14:textId="77777777" w:rsidR="00F12FAE" w:rsidRPr="0089303E" w:rsidRDefault="00F12FAE" w:rsidP="00002BC2">
            <w:pPr>
              <w:numPr>
                <w:ilvl w:val="0"/>
                <w:numId w:val="69"/>
              </w:numPr>
              <w:spacing w:after="60"/>
              <w:ind w:left="468"/>
              <w:contextualSpacing/>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El nivel de referencia se fija en el 25% para los turismos y en el 17% para las furgonetas.</w:t>
            </w:r>
          </w:p>
          <w:p w14:paraId="5E35BB31" w14:textId="77777777" w:rsidR="00F12FAE" w:rsidRPr="0089303E" w:rsidRDefault="00F12FAE" w:rsidP="0089303E">
            <w:pPr>
              <w:spacing w:after="6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lastRenderedPageBreak/>
              <w:t xml:space="preserve">Sobre </w:t>
            </w:r>
            <w:r w:rsidRPr="0089303E">
              <w:rPr>
                <w:rFonts w:ascii="Calibri" w:hAnsi="Calibri" w:cs="Calibri"/>
                <w:i/>
                <w:iCs/>
                <w:color w:val="auto"/>
                <w:sz w:val="16"/>
                <w:szCs w:val="16"/>
              </w:rPr>
              <w:t>e-</w:t>
            </w:r>
            <w:proofErr w:type="spellStart"/>
            <w:r w:rsidRPr="0089303E">
              <w:rPr>
                <w:rFonts w:ascii="Calibri" w:hAnsi="Calibri" w:cs="Calibri"/>
                <w:i/>
                <w:iCs/>
                <w:color w:val="auto"/>
                <w:sz w:val="16"/>
                <w:szCs w:val="16"/>
              </w:rPr>
              <w:t>fuels</w:t>
            </w:r>
            <w:proofErr w:type="spellEnd"/>
            <w:r w:rsidRPr="0089303E">
              <w:rPr>
                <w:rFonts w:ascii="Calibri" w:hAnsi="Calibri" w:cs="Calibri"/>
                <w:color w:val="auto"/>
                <w:sz w:val="16"/>
                <w:szCs w:val="16"/>
              </w:rPr>
              <w:t>:</w:t>
            </w:r>
          </w:p>
          <w:p w14:paraId="4E5B243C" w14:textId="77777777" w:rsidR="00F12FAE" w:rsidRPr="0089303E" w:rsidRDefault="00F12FAE" w:rsidP="00002BC2">
            <w:pPr>
              <w:numPr>
                <w:ilvl w:val="0"/>
                <w:numId w:val="70"/>
              </w:numPr>
              <w:spacing w:after="60"/>
              <w:ind w:left="468"/>
              <w:contextualSpacing/>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Propuesta de la CE sobre matriculación, después de 2035, de vehículos que funcionen exclusivamente con combustibles neutros en CO</w:t>
            </w:r>
            <w:r w:rsidRPr="0089303E">
              <w:rPr>
                <w:rFonts w:ascii="Calibri" w:hAnsi="Calibri" w:cs="Calibri"/>
                <w:color w:val="auto"/>
                <w:sz w:val="16"/>
                <w:szCs w:val="16"/>
                <w:vertAlign w:val="subscript"/>
              </w:rPr>
              <w:t>2</w:t>
            </w:r>
            <w:r w:rsidRPr="0089303E">
              <w:rPr>
                <w:rFonts w:ascii="Calibri" w:hAnsi="Calibri" w:cs="Calibri"/>
                <w:color w:val="auto"/>
                <w:sz w:val="16"/>
                <w:szCs w:val="16"/>
              </w:rPr>
              <w:t xml:space="preserve"> de conformidad con el Derecho de la UE.</w:t>
            </w:r>
          </w:p>
        </w:tc>
        <w:tc>
          <w:tcPr>
            <w:tcW w:w="869" w:type="pct"/>
            <w:shd w:val="clear" w:color="auto" w:fill="F6F9FC"/>
            <w:vAlign w:val="center"/>
          </w:tcPr>
          <w:p w14:paraId="1989FF0C" w14:textId="77777777" w:rsidR="00F12FAE" w:rsidRPr="0089303E" w:rsidRDefault="00F12FAE" w:rsidP="0089303E">
            <w:pPr>
              <w:spacing w:after="6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p>
        </w:tc>
      </w:tr>
      <w:tr w:rsidR="00F12FAE" w:rsidRPr="0089303E" w14:paraId="7FB78CFE" w14:textId="77777777" w:rsidTr="00435E18">
        <w:trPr>
          <w:cnfStyle w:val="000000100000" w:firstRow="0" w:lastRow="0" w:firstColumn="0" w:lastColumn="0" w:oddVBand="0" w:evenVBand="0" w:oddHBand="1" w:evenHBand="0" w:firstRowFirstColumn="0" w:firstRowLastColumn="0" w:lastRowFirstColumn="0" w:lastRowLastColumn="0"/>
          <w:trHeight w:val="761"/>
        </w:trPr>
        <w:tc>
          <w:tcPr>
            <w:cnfStyle w:val="001000000000" w:firstRow="0" w:lastRow="0" w:firstColumn="1" w:lastColumn="0" w:oddVBand="0" w:evenVBand="0" w:oddHBand="0" w:evenHBand="0" w:firstRowFirstColumn="0" w:firstRowLastColumn="0" w:lastRowFirstColumn="0" w:lastRowLastColumn="0"/>
            <w:tcW w:w="174" w:type="pct"/>
            <w:vMerge/>
            <w:shd w:val="clear" w:color="auto" w:fill="1D3C5A"/>
          </w:tcPr>
          <w:p w14:paraId="44F00889" w14:textId="77777777" w:rsidR="00F12FAE" w:rsidRPr="0089303E" w:rsidRDefault="00F12FAE" w:rsidP="0089303E">
            <w:pPr>
              <w:spacing w:after="60"/>
              <w:jc w:val="center"/>
              <w:rPr>
                <w:rFonts w:ascii="Calibri Light" w:hAnsi="Calibri Light" w:cs="Calibri Light"/>
                <w:color w:val="FFFFFF"/>
                <w:sz w:val="16"/>
                <w:szCs w:val="16"/>
              </w:rPr>
            </w:pPr>
          </w:p>
        </w:tc>
        <w:tc>
          <w:tcPr>
            <w:tcW w:w="652" w:type="pct"/>
            <w:shd w:val="clear" w:color="auto" w:fill="auto"/>
            <w:vAlign w:val="center"/>
          </w:tcPr>
          <w:p w14:paraId="4784524D" w14:textId="77777777" w:rsidR="00F12FAE" w:rsidRPr="0089303E" w:rsidRDefault="00F12FAE" w:rsidP="0089303E">
            <w:pPr>
              <w:spacing w:after="60"/>
              <w:jc w:val="left"/>
              <w:cnfStyle w:val="000000100000" w:firstRow="0" w:lastRow="0" w:firstColumn="0" w:lastColumn="0" w:oddVBand="0" w:evenVBand="0" w:oddHBand="1" w:evenHBand="0" w:firstRowFirstColumn="0" w:firstRowLastColumn="0" w:lastRowFirstColumn="0" w:lastRowLastColumn="0"/>
              <w:rPr>
                <w:rFonts w:ascii="Calibri Light" w:hAnsi="Calibri Light" w:cs="Calibri Light"/>
                <w:b/>
                <w:bCs/>
                <w:color w:val="C45911"/>
                <w:sz w:val="18"/>
                <w:szCs w:val="18"/>
              </w:rPr>
            </w:pPr>
            <w:r w:rsidRPr="00377592">
              <w:rPr>
                <w:rFonts w:ascii="Calibri Light" w:hAnsi="Calibri Light" w:cs="Calibri Light"/>
                <w:b/>
                <w:bCs/>
                <w:sz w:val="18"/>
                <w:szCs w:val="18"/>
              </w:rPr>
              <w:t>Directiva sobre gravámenes a los vehículos por utilización de determinada infraestructura</w:t>
            </w:r>
          </w:p>
        </w:tc>
        <w:tc>
          <w:tcPr>
            <w:tcW w:w="869" w:type="pct"/>
            <w:shd w:val="clear" w:color="auto" w:fill="auto"/>
            <w:vAlign w:val="center"/>
          </w:tcPr>
          <w:p w14:paraId="3A562858" w14:textId="77777777" w:rsidR="00F12FAE" w:rsidRPr="0089303E" w:rsidRDefault="00F12FAE" w:rsidP="0089303E">
            <w:pPr>
              <w:spacing w:after="6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6"/>
                <w:szCs w:val="16"/>
              </w:rPr>
            </w:pPr>
          </w:p>
        </w:tc>
        <w:tc>
          <w:tcPr>
            <w:tcW w:w="740" w:type="pct"/>
            <w:shd w:val="clear" w:color="auto" w:fill="auto"/>
            <w:vAlign w:val="center"/>
          </w:tcPr>
          <w:p w14:paraId="16567FAE" w14:textId="77777777" w:rsidR="00F12FAE" w:rsidRPr="0089303E" w:rsidRDefault="00F12FAE" w:rsidP="0089303E">
            <w:pPr>
              <w:spacing w:after="6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6"/>
                <w:szCs w:val="16"/>
              </w:rPr>
            </w:pPr>
          </w:p>
        </w:tc>
        <w:tc>
          <w:tcPr>
            <w:tcW w:w="870" w:type="pct"/>
            <w:shd w:val="clear" w:color="auto" w:fill="auto"/>
            <w:vAlign w:val="center"/>
          </w:tcPr>
          <w:p w14:paraId="0F6CE32C" w14:textId="77777777" w:rsidR="00F12FAE" w:rsidRPr="0089303E" w:rsidRDefault="00F12FAE" w:rsidP="0089303E">
            <w:pPr>
              <w:spacing w:after="60"/>
              <w:ind w:left="461"/>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6"/>
                <w:szCs w:val="16"/>
              </w:rPr>
            </w:pPr>
          </w:p>
        </w:tc>
        <w:tc>
          <w:tcPr>
            <w:tcW w:w="826" w:type="pct"/>
            <w:shd w:val="clear" w:color="auto" w:fill="auto"/>
            <w:vAlign w:val="center"/>
          </w:tcPr>
          <w:p w14:paraId="5F53C1DC" w14:textId="77777777" w:rsidR="00F12FAE" w:rsidRPr="0089303E" w:rsidRDefault="00F12FAE" w:rsidP="00002BC2">
            <w:pPr>
              <w:numPr>
                <w:ilvl w:val="0"/>
                <w:numId w:val="55"/>
              </w:numPr>
              <w:spacing w:after="60"/>
              <w:ind w:left="470"/>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 xml:space="preserve">En el caso de los vehículos pesados, </w:t>
            </w:r>
            <w:r w:rsidRPr="0089303E">
              <w:rPr>
                <w:rFonts w:ascii="Calibri" w:hAnsi="Calibri" w:cs="Calibri"/>
                <w:b/>
                <w:bCs/>
                <w:color w:val="auto"/>
                <w:sz w:val="16"/>
                <w:szCs w:val="16"/>
              </w:rPr>
              <w:t>a partir del 25 de marzo de 2025</w:t>
            </w:r>
            <w:r w:rsidRPr="0089303E">
              <w:rPr>
                <w:rFonts w:ascii="Calibri" w:hAnsi="Calibri" w:cs="Calibri"/>
                <w:color w:val="auto"/>
                <w:sz w:val="16"/>
                <w:szCs w:val="16"/>
              </w:rPr>
              <w:t>, se aplicará una tasa por costes externos asociados al impacto de la contaminación atmosférica o acústica generada por el tráfico, salvo en los casos en los que ello suponga el desvío de los vehículos.</w:t>
            </w:r>
          </w:p>
          <w:p w14:paraId="2B40FB93" w14:textId="77777777" w:rsidR="00F12FAE" w:rsidRPr="0089303E" w:rsidRDefault="00F12FAE" w:rsidP="00002BC2">
            <w:pPr>
              <w:numPr>
                <w:ilvl w:val="0"/>
                <w:numId w:val="55"/>
              </w:numPr>
              <w:spacing w:after="60"/>
              <w:ind w:left="470"/>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6"/>
                <w:szCs w:val="16"/>
              </w:rPr>
            </w:pPr>
            <w:r w:rsidRPr="0089303E">
              <w:rPr>
                <w:rFonts w:ascii="Calibri" w:hAnsi="Calibri" w:cs="Calibri"/>
                <w:b/>
                <w:bCs/>
                <w:color w:val="auto"/>
                <w:sz w:val="16"/>
                <w:szCs w:val="16"/>
              </w:rPr>
              <w:t>Hasta el 25 de marzo de 2027</w:t>
            </w:r>
            <w:r w:rsidRPr="0089303E">
              <w:rPr>
                <w:rFonts w:ascii="Calibri" w:hAnsi="Calibri" w:cs="Calibri"/>
                <w:color w:val="auto"/>
                <w:sz w:val="16"/>
                <w:szCs w:val="16"/>
              </w:rPr>
              <w:t>, se podrá aplicar peajes o tasas por utilización únicamente a los vehículos pesados con una masa máxima en carga igual o superior a 12 toneladas, cuando consideren que aplicarlos a los de pueda ser perjudicial.</w:t>
            </w:r>
          </w:p>
          <w:p w14:paraId="77000A65" w14:textId="77777777" w:rsidR="00F12FAE" w:rsidRPr="0089303E" w:rsidRDefault="00F12FAE" w:rsidP="00002BC2">
            <w:pPr>
              <w:numPr>
                <w:ilvl w:val="0"/>
                <w:numId w:val="55"/>
              </w:numPr>
              <w:spacing w:after="60"/>
              <w:ind w:left="470"/>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6"/>
                <w:szCs w:val="16"/>
              </w:rPr>
            </w:pPr>
            <w:r w:rsidRPr="0089303E">
              <w:rPr>
                <w:rFonts w:ascii="Calibri" w:hAnsi="Calibri" w:cs="Calibri"/>
                <w:b/>
                <w:bCs/>
                <w:color w:val="auto"/>
                <w:sz w:val="16"/>
                <w:szCs w:val="16"/>
              </w:rPr>
              <w:t>A partir del 25 de marzo de 2030</w:t>
            </w:r>
            <w:r w:rsidRPr="0089303E">
              <w:rPr>
                <w:rFonts w:ascii="Calibri" w:hAnsi="Calibri" w:cs="Calibri"/>
                <w:color w:val="auto"/>
                <w:sz w:val="16"/>
                <w:szCs w:val="16"/>
              </w:rPr>
              <w:t>, no se aplicarán tasas por utilización a los vehículos pesados en la red transeuropea de transporte, salvo contadas excepciones.</w:t>
            </w:r>
          </w:p>
          <w:p w14:paraId="579BB648" w14:textId="77777777" w:rsidR="00F12FAE" w:rsidRPr="0089303E" w:rsidRDefault="00F12FAE" w:rsidP="00002BC2">
            <w:pPr>
              <w:numPr>
                <w:ilvl w:val="0"/>
                <w:numId w:val="55"/>
              </w:numPr>
              <w:spacing w:after="60"/>
              <w:ind w:left="470"/>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Se podrá introducir una tasa por congestión.</w:t>
            </w:r>
          </w:p>
        </w:tc>
        <w:tc>
          <w:tcPr>
            <w:tcW w:w="869" w:type="pct"/>
            <w:shd w:val="clear" w:color="auto" w:fill="auto"/>
            <w:vAlign w:val="center"/>
          </w:tcPr>
          <w:p w14:paraId="0BACD016" w14:textId="77777777" w:rsidR="00F12FAE" w:rsidRPr="0089303E" w:rsidRDefault="00F12FAE" w:rsidP="0089303E">
            <w:pPr>
              <w:spacing w:after="6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6"/>
                <w:szCs w:val="16"/>
              </w:rPr>
            </w:pPr>
          </w:p>
        </w:tc>
      </w:tr>
      <w:tr w:rsidR="00F12FAE" w:rsidRPr="0089303E" w14:paraId="4273CA76" w14:textId="77777777" w:rsidTr="00435E18">
        <w:trPr>
          <w:trHeight w:val="761"/>
        </w:trPr>
        <w:tc>
          <w:tcPr>
            <w:cnfStyle w:val="001000000000" w:firstRow="0" w:lastRow="0" w:firstColumn="1" w:lastColumn="0" w:oddVBand="0" w:evenVBand="0" w:oddHBand="0" w:evenHBand="0" w:firstRowFirstColumn="0" w:firstRowLastColumn="0" w:lastRowFirstColumn="0" w:lastRowLastColumn="0"/>
            <w:tcW w:w="174" w:type="pct"/>
            <w:vMerge/>
            <w:shd w:val="clear" w:color="auto" w:fill="1D3C5A"/>
          </w:tcPr>
          <w:p w14:paraId="3FA8E489" w14:textId="77777777" w:rsidR="00F12FAE" w:rsidRPr="0089303E" w:rsidRDefault="00F12FAE" w:rsidP="0089303E">
            <w:pPr>
              <w:spacing w:after="60"/>
              <w:jc w:val="center"/>
              <w:rPr>
                <w:rFonts w:ascii="Calibri Light" w:hAnsi="Calibri Light" w:cs="Calibri Light"/>
                <w:color w:val="FFFFFF"/>
                <w:sz w:val="16"/>
                <w:szCs w:val="16"/>
              </w:rPr>
            </w:pPr>
          </w:p>
        </w:tc>
        <w:tc>
          <w:tcPr>
            <w:tcW w:w="652" w:type="pct"/>
            <w:shd w:val="clear" w:color="auto" w:fill="F6F9FC"/>
            <w:vAlign w:val="center"/>
          </w:tcPr>
          <w:p w14:paraId="4D5423C6" w14:textId="77777777" w:rsidR="00F12FAE" w:rsidRPr="0089303E" w:rsidRDefault="00F12FAE" w:rsidP="0089303E">
            <w:pPr>
              <w:spacing w:after="60"/>
              <w:jc w:val="left"/>
              <w:cnfStyle w:val="000000000000" w:firstRow="0" w:lastRow="0" w:firstColumn="0" w:lastColumn="0" w:oddVBand="0" w:evenVBand="0" w:oddHBand="0" w:evenHBand="0" w:firstRowFirstColumn="0" w:firstRowLastColumn="0" w:lastRowFirstColumn="0" w:lastRowLastColumn="0"/>
              <w:rPr>
                <w:rFonts w:ascii="Calibri Light" w:hAnsi="Calibri Light" w:cs="Calibri Light"/>
                <w:b/>
                <w:bCs/>
                <w:color w:val="C45911"/>
                <w:sz w:val="18"/>
                <w:szCs w:val="18"/>
              </w:rPr>
            </w:pPr>
            <w:proofErr w:type="spellStart"/>
            <w:r w:rsidRPr="00377592">
              <w:rPr>
                <w:rFonts w:ascii="Calibri Light" w:hAnsi="Calibri Light" w:cs="Calibri Light"/>
                <w:b/>
                <w:bCs/>
                <w:sz w:val="18"/>
                <w:szCs w:val="18"/>
              </w:rPr>
              <w:t>FuelEU</w:t>
            </w:r>
            <w:proofErr w:type="spellEnd"/>
            <w:r w:rsidRPr="00377592">
              <w:rPr>
                <w:rFonts w:ascii="Calibri Light" w:hAnsi="Calibri Light" w:cs="Calibri Light"/>
                <w:b/>
                <w:bCs/>
                <w:sz w:val="18"/>
                <w:szCs w:val="18"/>
              </w:rPr>
              <w:t xml:space="preserve"> </w:t>
            </w:r>
            <w:proofErr w:type="spellStart"/>
            <w:r w:rsidRPr="00377592">
              <w:rPr>
                <w:rFonts w:ascii="Calibri Light" w:hAnsi="Calibri Light" w:cs="Calibri Light"/>
                <w:b/>
                <w:bCs/>
                <w:sz w:val="18"/>
                <w:szCs w:val="18"/>
              </w:rPr>
              <w:t>Maritime</w:t>
            </w:r>
            <w:proofErr w:type="spellEnd"/>
          </w:p>
        </w:tc>
        <w:tc>
          <w:tcPr>
            <w:tcW w:w="869" w:type="pct"/>
            <w:shd w:val="clear" w:color="auto" w:fill="F6F9FC"/>
            <w:vAlign w:val="center"/>
          </w:tcPr>
          <w:p w14:paraId="2FED5220" w14:textId="77777777" w:rsidR="00F12FAE" w:rsidRPr="0089303E" w:rsidRDefault="00F12FAE" w:rsidP="0089303E">
            <w:pPr>
              <w:spacing w:after="6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p>
        </w:tc>
        <w:tc>
          <w:tcPr>
            <w:tcW w:w="740" w:type="pct"/>
            <w:shd w:val="clear" w:color="auto" w:fill="F6F9FC"/>
            <w:vAlign w:val="center"/>
          </w:tcPr>
          <w:p w14:paraId="3E745E61" w14:textId="77777777" w:rsidR="00F12FAE" w:rsidRPr="0089303E" w:rsidRDefault="00F12FAE" w:rsidP="0089303E">
            <w:pPr>
              <w:spacing w:after="6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p>
        </w:tc>
        <w:tc>
          <w:tcPr>
            <w:tcW w:w="870" w:type="pct"/>
            <w:shd w:val="clear" w:color="auto" w:fill="F6F9FC"/>
            <w:vAlign w:val="center"/>
          </w:tcPr>
          <w:p w14:paraId="11559764" w14:textId="77777777" w:rsidR="00F12FAE" w:rsidRPr="0089303E" w:rsidRDefault="00F12FAE" w:rsidP="0089303E">
            <w:pPr>
              <w:spacing w:after="60"/>
              <w:ind w:left="461"/>
              <w:contextualSpacing/>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p>
        </w:tc>
        <w:tc>
          <w:tcPr>
            <w:tcW w:w="826" w:type="pct"/>
            <w:shd w:val="clear" w:color="auto" w:fill="F6F9FC"/>
            <w:vAlign w:val="center"/>
          </w:tcPr>
          <w:p w14:paraId="1B9D9D3D" w14:textId="77777777" w:rsidR="00F12FAE" w:rsidRPr="0089303E" w:rsidRDefault="00F12FAE" w:rsidP="0089303E">
            <w:pPr>
              <w:spacing w:after="6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p>
        </w:tc>
        <w:tc>
          <w:tcPr>
            <w:tcW w:w="869" w:type="pct"/>
            <w:shd w:val="clear" w:color="auto" w:fill="F6F9FC"/>
            <w:vAlign w:val="center"/>
          </w:tcPr>
          <w:p w14:paraId="08A5F2B3" w14:textId="77777777" w:rsidR="00F12FAE" w:rsidRPr="0089303E" w:rsidRDefault="00F12FAE" w:rsidP="0089303E">
            <w:pPr>
              <w:spacing w:after="6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Alcance objetivo:</w:t>
            </w:r>
          </w:p>
          <w:p w14:paraId="615C5FB8" w14:textId="77777777" w:rsidR="00F12FAE" w:rsidRPr="0089303E" w:rsidRDefault="00F12FAE" w:rsidP="00002BC2">
            <w:pPr>
              <w:numPr>
                <w:ilvl w:val="0"/>
                <w:numId w:val="59"/>
              </w:numPr>
              <w:spacing w:after="60"/>
              <w:ind w:left="465"/>
              <w:contextualSpacing/>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Buques &gt; 5.000 GT. Evaluación en 2028 para ampliar a buques más pequeños.</w:t>
            </w:r>
          </w:p>
          <w:p w14:paraId="2FD0F381" w14:textId="77777777" w:rsidR="00F12FAE" w:rsidRPr="0089303E" w:rsidRDefault="00F12FAE" w:rsidP="00002BC2">
            <w:pPr>
              <w:numPr>
                <w:ilvl w:val="0"/>
                <w:numId w:val="59"/>
              </w:numPr>
              <w:ind w:left="465"/>
              <w:contextualSpacing/>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Emisiones de CO</w:t>
            </w:r>
            <w:r w:rsidRPr="0089303E">
              <w:rPr>
                <w:rFonts w:ascii="Calibri" w:hAnsi="Calibri" w:cs="Calibri"/>
                <w:color w:val="auto"/>
                <w:sz w:val="16"/>
                <w:szCs w:val="16"/>
                <w:vertAlign w:val="subscript"/>
              </w:rPr>
              <w:t>2</w:t>
            </w:r>
            <w:r w:rsidRPr="0089303E">
              <w:rPr>
                <w:rFonts w:ascii="Calibri" w:hAnsi="Calibri" w:cs="Calibri"/>
                <w:color w:val="auto"/>
                <w:sz w:val="16"/>
                <w:szCs w:val="16"/>
              </w:rPr>
              <w:t>, CH</w:t>
            </w:r>
            <w:r w:rsidRPr="0089303E">
              <w:rPr>
                <w:rFonts w:ascii="Calibri" w:hAnsi="Calibri" w:cs="Calibri"/>
                <w:color w:val="auto"/>
                <w:sz w:val="16"/>
                <w:szCs w:val="16"/>
                <w:vertAlign w:val="subscript"/>
              </w:rPr>
              <w:t>4</w:t>
            </w:r>
            <w:r w:rsidRPr="0089303E">
              <w:rPr>
                <w:rFonts w:ascii="Calibri" w:hAnsi="Calibri" w:cs="Calibri"/>
                <w:color w:val="auto"/>
                <w:sz w:val="16"/>
                <w:szCs w:val="16"/>
              </w:rPr>
              <w:t xml:space="preserve"> y N</w:t>
            </w:r>
            <w:r w:rsidRPr="0089303E">
              <w:rPr>
                <w:rFonts w:ascii="Calibri" w:hAnsi="Calibri" w:cs="Calibri"/>
                <w:color w:val="auto"/>
                <w:sz w:val="16"/>
                <w:szCs w:val="16"/>
                <w:vertAlign w:val="subscript"/>
              </w:rPr>
              <w:t>2</w:t>
            </w:r>
            <w:r w:rsidRPr="0089303E">
              <w:rPr>
                <w:rFonts w:ascii="Calibri" w:hAnsi="Calibri" w:cs="Calibri"/>
                <w:color w:val="auto"/>
                <w:sz w:val="16"/>
                <w:szCs w:val="16"/>
              </w:rPr>
              <w:t>O.</w:t>
            </w:r>
          </w:p>
          <w:p w14:paraId="7E1A77A6" w14:textId="77777777" w:rsidR="00F12FAE" w:rsidRPr="0089303E" w:rsidRDefault="00F12FAE" w:rsidP="00002BC2">
            <w:pPr>
              <w:numPr>
                <w:ilvl w:val="0"/>
                <w:numId w:val="59"/>
              </w:numPr>
              <w:spacing w:after="60"/>
              <w:ind w:left="465"/>
              <w:contextualSpacing/>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lastRenderedPageBreak/>
              <w:t>100% energía consumida en viajes entre puertos del EEE y escalas en esos puertos y 50% energía consumida en viajes entre puertos del EEE y puertos de terceros Estados.</w:t>
            </w:r>
          </w:p>
          <w:p w14:paraId="586D08B3" w14:textId="77777777" w:rsidR="00F12FAE" w:rsidRPr="0089303E" w:rsidRDefault="00F12FAE" w:rsidP="0089303E">
            <w:pPr>
              <w:spacing w:after="6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Reducción de intensidad de carbono:</w:t>
            </w:r>
          </w:p>
          <w:p w14:paraId="69F39C5B" w14:textId="77777777" w:rsidR="00F12FAE" w:rsidRPr="0089303E" w:rsidRDefault="00F12FAE" w:rsidP="00002BC2">
            <w:pPr>
              <w:numPr>
                <w:ilvl w:val="0"/>
                <w:numId w:val="60"/>
              </w:numPr>
              <w:spacing w:after="60"/>
              <w:ind w:left="465"/>
              <w:contextualSpacing/>
              <w:jc w:val="left"/>
              <w:cnfStyle w:val="000000000000" w:firstRow="0" w:lastRow="0" w:firstColumn="0" w:lastColumn="0" w:oddVBand="0" w:evenVBand="0" w:oddHBand="0" w:evenHBand="0" w:firstRowFirstColumn="0" w:firstRowLastColumn="0" w:lastRowFirstColumn="0" w:lastRowLastColumn="0"/>
              <w:rPr>
                <w:rFonts w:ascii="Calibri" w:hAnsi="Calibri" w:cs="Calibri"/>
                <w:b/>
                <w:bCs/>
                <w:color w:val="auto"/>
                <w:sz w:val="16"/>
                <w:szCs w:val="16"/>
              </w:rPr>
            </w:pPr>
            <w:r w:rsidRPr="0089303E">
              <w:rPr>
                <w:rFonts w:ascii="Calibri" w:hAnsi="Calibri" w:cs="Calibri"/>
                <w:b/>
                <w:bCs/>
                <w:color w:val="auto"/>
                <w:sz w:val="16"/>
                <w:szCs w:val="16"/>
              </w:rPr>
              <w:t xml:space="preserve">2% a partir de 2025 </w:t>
            </w:r>
          </w:p>
          <w:p w14:paraId="41C24D63" w14:textId="77777777" w:rsidR="00F12FAE" w:rsidRPr="0089303E" w:rsidRDefault="00F12FAE" w:rsidP="00002BC2">
            <w:pPr>
              <w:numPr>
                <w:ilvl w:val="0"/>
                <w:numId w:val="60"/>
              </w:numPr>
              <w:spacing w:after="60"/>
              <w:ind w:left="465"/>
              <w:contextualSpacing/>
              <w:jc w:val="left"/>
              <w:cnfStyle w:val="000000000000" w:firstRow="0" w:lastRow="0" w:firstColumn="0" w:lastColumn="0" w:oddVBand="0" w:evenVBand="0" w:oddHBand="0" w:evenHBand="0" w:firstRowFirstColumn="0" w:firstRowLastColumn="0" w:lastRowFirstColumn="0" w:lastRowLastColumn="0"/>
              <w:rPr>
                <w:rFonts w:ascii="Calibri" w:hAnsi="Calibri" w:cs="Calibri"/>
                <w:b/>
                <w:bCs/>
                <w:color w:val="auto"/>
                <w:sz w:val="16"/>
                <w:szCs w:val="16"/>
              </w:rPr>
            </w:pPr>
            <w:r w:rsidRPr="0089303E">
              <w:rPr>
                <w:rFonts w:ascii="Calibri" w:hAnsi="Calibri" w:cs="Calibri"/>
                <w:b/>
                <w:bCs/>
                <w:color w:val="auto"/>
                <w:sz w:val="16"/>
                <w:szCs w:val="16"/>
              </w:rPr>
              <w:t xml:space="preserve">6% a partir de 2030 </w:t>
            </w:r>
          </w:p>
          <w:p w14:paraId="561FB23E" w14:textId="77777777" w:rsidR="00F12FAE" w:rsidRPr="0089303E" w:rsidRDefault="00F12FAE" w:rsidP="00002BC2">
            <w:pPr>
              <w:numPr>
                <w:ilvl w:val="0"/>
                <w:numId w:val="60"/>
              </w:numPr>
              <w:spacing w:after="60"/>
              <w:ind w:left="465"/>
              <w:contextualSpacing/>
              <w:jc w:val="left"/>
              <w:cnfStyle w:val="000000000000" w:firstRow="0" w:lastRow="0" w:firstColumn="0" w:lastColumn="0" w:oddVBand="0" w:evenVBand="0" w:oddHBand="0" w:evenHBand="0" w:firstRowFirstColumn="0" w:firstRowLastColumn="0" w:lastRowFirstColumn="0" w:lastRowLastColumn="0"/>
              <w:rPr>
                <w:rFonts w:ascii="Calibri" w:hAnsi="Calibri" w:cs="Calibri"/>
                <w:b/>
                <w:bCs/>
                <w:color w:val="auto"/>
                <w:sz w:val="16"/>
                <w:szCs w:val="16"/>
              </w:rPr>
            </w:pPr>
            <w:r w:rsidRPr="0089303E">
              <w:rPr>
                <w:rFonts w:ascii="Calibri" w:hAnsi="Calibri" w:cs="Calibri"/>
                <w:b/>
                <w:bCs/>
                <w:color w:val="auto"/>
                <w:sz w:val="16"/>
                <w:szCs w:val="16"/>
              </w:rPr>
              <w:t>14,5% a partir de 2035</w:t>
            </w:r>
          </w:p>
          <w:p w14:paraId="1905E837" w14:textId="77777777" w:rsidR="00F12FAE" w:rsidRPr="0089303E" w:rsidRDefault="00F12FAE" w:rsidP="00002BC2">
            <w:pPr>
              <w:numPr>
                <w:ilvl w:val="0"/>
                <w:numId w:val="60"/>
              </w:numPr>
              <w:spacing w:after="60"/>
              <w:ind w:left="465"/>
              <w:contextualSpacing/>
              <w:jc w:val="left"/>
              <w:cnfStyle w:val="000000000000" w:firstRow="0" w:lastRow="0" w:firstColumn="0" w:lastColumn="0" w:oddVBand="0" w:evenVBand="0" w:oddHBand="0" w:evenHBand="0" w:firstRowFirstColumn="0" w:firstRowLastColumn="0" w:lastRowFirstColumn="0" w:lastRowLastColumn="0"/>
              <w:rPr>
                <w:rFonts w:ascii="Calibri" w:hAnsi="Calibri" w:cs="Calibri"/>
                <w:b/>
                <w:bCs/>
                <w:color w:val="auto"/>
                <w:sz w:val="16"/>
                <w:szCs w:val="16"/>
              </w:rPr>
            </w:pPr>
            <w:r w:rsidRPr="0089303E">
              <w:rPr>
                <w:rFonts w:ascii="Calibri" w:hAnsi="Calibri" w:cs="Calibri"/>
                <w:b/>
                <w:bCs/>
                <w:color w:val="auto"/>
                <w:sz w:val="16"/>
                <w:szCs w:val="16"/>
              </w:rPr>
              <w:t>31% a partir de 2040.</w:t>
            </w:r>
          </w:p>
          <w:p w14:paraId="12AA4AD8" w14:textId="77777777" w:rsidR="00F12FAE" w:rsidRPr="0089303E" w:rsidRDefault="00F12FAE" w:rsidP="00002BC2">
            <w:pPr>
              <w:numPr>
                <w:ilvl w:val="0"/>
                <w:numId w:val="60"/>
              </w:numPr>
              <w:spacing w:after="60"/>
              <w:ind w:left="465"/>
              <w:contextualSpacing/>
              <w:jc w:val="left"/>
              <w:cnfStyle w:val="000000000000" w:firstRow="0" w:lastRow="0" w:firstColumn="0" w:lastColumn="0" w:oddVBand="0" w:evenVBand="0" w:oddHBand="0" w:evenHBand="0" w:firstRowFirstColumn="0" w:firstRowLastColumn="0" w:lastRowFirstColumn="0" w:lastRowLastColumn="0"/>
              <w:rPr>
                <w:rFonts w:ascii="Calibri" w:hAnsi="Calibri" w:cs="Calibri"/>
                <w:b/>
                <w:bCs/>
                <w:color w:val="auto"/>
                <w:sz w:val="16"/>
                <w:szCs w:val="16"/>
              </w:rPr>
            </w:pPr>
            <w:r w:rsidRPr="0089303E">
              <w:rPr>
                <w:rFonts w:ascii="Calibri" w:hAnsi="Calibri" w:cs="Calibri"/>
                <w:b/>
                <w:bCs/>
                <w:color w:val="auto"/>
                <w:sz w:val="16"/>
                <w:szCs w:val="16"/>
              </w:rPr>
              <w:t>62% a partir de 2045</w:t>
            </w:r>
          </w:p>
          <w:p w14:paraId="2A05F12C" w14:textId="77777777" w:rsidR="00F12FAE" w:rsidRPr="0089303E" w:rsidRDefault="00F12FAE" w:rsidP="00002BC2">
            <w:pPr>
              <w:numPr>
                <w:ilvl w:val="0"/>
                <w:numId w:val="60"/>
              </w:numPr>
              <w:spacing w:after="60"/>
              <w:ind w:left="465"/>
              <w:contextualSpacing/>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89303E">
              <w:rPr>
                <w:rFonts w:ascii="Calibri" w:hAnsi="Calibri" w:cs="Calibri"/>
                <w:b/>
                <w:bCs/>
                <w:color w:val="auto"/>
                <w:sz w:val="16"/>
                <w:szCs w:val="16"/>
              </w:rPr>
              <w:t>80% a partir de 2050</w:t>
            </w:r>
          </w:p>
          <w:p w14:paraId="4102015F" w14:textId="77777777" w:rsidR="00F12FAE" w:rsidRPr="0089303E" w:rsidRDefault="00F12FAE" w:rsidP="0089303E">
            <w:pPr>
              <w:spacing w:after="6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Conexión eléctrica:</w:t>
            </w:r>
          </w:p>
          <w:p w14:paraId="04FB71EE" w14:textId="77777777" w:rsidR="00F12FAE" w:rsidRPr="0089303E" w:rsidRDefault="00F12FAE" w:rsidP="00002BC2">
            <w:pPr>
              <w:numPr>
                <w:ilvl w:val="0"/>
                <w:numId w:val="61"/>
              </w:numPr>
              <w:spacing w:after="60"/>
              <w:ind w:left="465"/>
              <w:contextualSpacing/>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89303E">
              <w:rPr>
                <w:rFonts w:ascii="Calibri" w:hAnsi="Calibri" w:cs="Calibri"/>
                <w:b/>
                <w:bCs/>
                <w:color w:val="auto"/>
                <w:sz w:val="16"/>
                <w:szCs w:val="16"/>
              </w:rPr>
              <w:t>A partir de 2030</w:t>
            </w:r>
            <w:r w:rsidRPr="0089303E">
              <w:rPr>
                <w:rFonts w:ascii="Calibri" w:hAnsi="Calibri" w:cs="Calibri"/>
                <w:color w:val="auto"/>
                <w:sz w:val="16"/>
                <w:szCs w:val="16"/>
              </w:rPr>
              <w:t>, los portacontenedores y buques de pasaje se conectarán a la red eléctrica en los puertos de la red TEN T para cubrir su consumo eléctrico a bordo.</w:t>
            </w:r>
          </w:p>
          <w:p w14:paraId="3D4E77D3" w14:textId="77777777" w:rsidR="00F12FAE" w:rsidRPr="0089303E" w:rsidRDefault="00F12FAE" w:rsidP="00002BC2">
            <w:pPr>
              <w:numPr>
                <w:ilvl w:val="0"/>
                <w:numId w:val="61"/>
              </w:numPr>
              <w:spacing w:after="60"/>
              <w:ind w:left="465"/>
              <w:contextualSpacing/>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89303E">
              <w:rPr>
                <w:rFonts w:ascii="Calibri" w:hAnsi="Calibri" w:cs="Calibri"/>
                <w:b/>
                <w:bCs/>
                <w:color w:val="auto"/>
                <w:sz w:val="16"/>
                <w:szCs w:val="16"/>
              </w:rPr>
              <w:t>Desde 2035</w:t>
            </w:r>
            <w:r w:rsidRPr="0089303E">
              <w:rPr>
                <w:rFonts w:ascii="Calibri" w:hAnsi="Calibri" w:cs="Calibri"/>
                <w:color w:val="auto"/>
                <w:sz w:val="16"/>
                <w:szCs w:val="16"/>
              </w:rPr>
              <w:t>, se conectarán en todos los puertos que dispongan de los medios para la conexión eléctrica en tierra. Exenciones para determinados casos.</w:t>
            </w:r>
          </w:p>
          <w:p w14:paraId="0657B49E" w14:textId="77777777" w:rsidR="00F12FAE" w:rsidRPr="0089303E" w:rsidRDefault="00F12FAE" w:rsidP="0089303E">
            <w:pPr>
              <w:spacing w:after="6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Exenciones temporales:</w:t>
            </w:r>
          </w:p>
          <w:p w14:paraId="6DB8D881" w14:textId="77777777" w:rsidR="00F12FAE" w:rsidRPr="0089303E" w:rsidRDefault="00F12FAE" w:rsidP="00002BC2">
            <w:pPr>
              <w:numPr>
                <w:ilvl w:val="0"/>
                <w:numId w:val="62"/>
              </w:numPr>
              <w:spacing w:after="60"/>
              <w:ind w:left="465"/>
              <w:contextualSpacing/>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Islas &lt; 200.000 habitantes, regiones ultraperiféricas y zonas muy dependientes económicamente de su conectividad.</w:t>
            </w:r>
          </w:p>
          <w:p w14:paraId="6756B529" w14:textId="77777777" w:rsidR="00F12FAE" w:rsidRPr="0089303E" w:rsidRDefault="00F12FAE" w:rsidP="0089303E">
            <w:pPr>
              <w:spacing w:after="6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Fuga de CO</w:t>
            </w:r>
            <w:r w:rsidRPr="0089303E">
              <w:rPr>
                <w:rFonts w:ascii="Calibri" w:hAnsi="Calibri" w:cs="Calibri"/>
                <w:color w:val="auto"/>
                <w:sz w:val="16"/>
                <w:szCs w:val="16"/>
                <w:vertAlign w:val="subscript"/>
              </w:rPr>
              <w:t>2</w:t>
            </w:r>
            <w:r w:rsidRPr="0089303E">
              <w:rPr>
                <w:rFonts w:ascii="Calibri" w:hAnsi="Calibri" w:cs="Calibri"/>
                <w:color w:val="auto"/>
                <w:sz w:val="16"/>
                <w:szCs w:val="16"/>
              </w:rPr>
              <w:t>:</w:t>
            </w:r>
          </w:p>
          <w:p w14:paraId="0470E01B" w14:textId="77777777" w:rsidR="00F12FAE" w:rsidRPr="0089303E" w:rsidRDefault="00F12FAE" w:rsidP="00002BC2">
            <w:pPr>
              <w:numPr>
                <w:ilvl w:val="0"/>
                <w:numId w:val="62"/>
              </w:numPr>
              <w:spacing w:after="60"/>
              <w:ind w:left="465"/>
              <w:contextualSpacing/>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Puertos de transbordo &lt; 300 millas náuticas de la UE no serán puerto de escala.</w:t>
            </w:r>
          </w:p>
          <w:p w14:paraId="79522919" w14:textId="77777777" w:rsidR="00F12FAE" w:rsidRPr="0089303E" w:rsidRDefault="00F12FAE" w:rsidP="0089303E">
            <w:pPr>
              <w:spacing w:after="6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RFNBO:</w:t>
            </w:r>
          </w:p>
          <w:p w14:paraId="5FFF9440" w14:textId="77777777" w:rsidR="00F12FAE" w:rsidRPr="0089303E" w:rsidRDefault="00F12FAE" w:rsidP="00002BC2">
            <w:pPr>
              <w:numPr>
                <w:ilvl w:val="0"/>
                <w:numId w:val="62"/>
              </w:numPr>
              <w:spacing w:after="60"/>
              <w:ind w:left="465"/>
              <w:contextualSpacing/>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t xml:space="preserve">La Comisión analizará la cuota de RFNBO </w:t>
            </w:r>
            <w:r w:rsidRPr="0089303E">
              <w:rPr>
                <w:rFonts w:ascii="Calibri" w:hAnsi="Calibri" w:cs="Calibri"/>
                <w:b/>
                <w:bCs/>
                <w:color w:val="auto"/>
                <w:sz w:val="16"/>
                <w:szCs w:val="16"/>
              </w:rPr>
              <w:t>en 2031</w:t>
            </w:r>
            <w:r w:rsidRPr="0089303E">
              <w:rPr>
                <w:rFonts w:ascii="Calibri" w:hAnsi="Calibri" w:cs="Calibri"/>
                <w:color w:val="auto"/>
                <w:sz w:val="16"/>
                <w:szCs w:val="16"/>
              </w:rPr>
              <w:t xml:space="preserve"> y, si es inferior al 1%, impondrá una cuota obligatoria del 2% </w:t>
            </w:r>
            <w:r w:rsidRPr="0089303E">
              <w:rPr>
                <w:rFonts w:ascii="Calibri" w:hAnsi="Calibri" w:cs="Calibri"/>
                <w:b/>
                <w:bCs/>
                <w:color w:val="auto"/>
                <w:sz w:val="16"/>
                <w:szCs w:val="16"/>
              </w:rPr>
              <w:t>desde 2034</w:t>
            </w:r>
            <w:r w:rsidRPr="0089303E">
              <w:rPr>
                <w:rFonts w:ascii="Calibri" w:hAnsi="Calibri" w:cs="Calibri"/>
                <w:color w:val="auto"/>
                <w:sz w:val="16"/>
                <w:szCs w:val="16"/>
              </w:rPr>
              <w:t xml:space="preserve">. Multiplicador </w:t>
            </w:r>
            <w:r w:rsidRPr="0089303E">
              <w:rPr>
                <w:rFonts w:ascii="Calibri" w:hAnsi="Calibri" w:cs="Calibri"/>
                <w:b/>
                <w:bCs/>
                <w:color w:val="auto"/>
                <w:sz w:val="16"/>
                <w:szCs w:val="16"/>
              </w:rPr>
              <w:t>de 2025 a 2034</w:t>
            </w:r>
            <w:r w:rsidRPr="0089303E">
              <w:rPr>
                <w:rFonts w:ascii="Calibri" w:hAnsi="Calibri" w:cs="Calibri"/>
                <w:color w:val="auto"/>
                <w:sz w:val="16"/>
                <w:szCs w:val="16"/>
              </w:rPr>
              <w:t>.</w:t>
            </w:r>
          </w:p>
          <w:p w14:paraId="2A77D9AA" w14:textId="77777777" w:rsidR="00F12FAE" w:rsidRPr="007F5335" w:rsidRDefault="00F12FAE" w:rsidP="00002BC2">
            <w:pPr>
              <w:numPr>
                <w:ilvl w:val="0"/>
                <w:numId w:val="62"/>
              </w:numPr>
              <w:spacing w:after="60"/>
              <w:ind w:left="465"/>
              <w:contextualSpacing/>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89303E">
              <w:rPr>
                <w:rFonts w:ascii="Calibri" w:hAnsi="Calibri" w:cs="Calibri"/>
                <w:color w:val="auto"/>
                <w:sz w:val="16"/>
                <w:szCs w:val="16"/>
              </w:rPr>
              <w:lastRenderedPageBreak/>
              <w:t xml:space="preserve">Multiplicador (x2) para fomentar el uso de RFNBO </w:t>
            </w:r>
            <w:r w:rsidRPr="0089303E">
              <w:rPr>
                <w:rFonts w:ascii="Calibri" w:hAnsi="Calibri" w:cs="Calibri"/>
                <w:b/>
                <w:bCs/>
                <w:color w:val="auto"/>
                <w:sz w:val="16"/>
                <w:szCs w:val="16"/>
              </w:rPr>
              <w:t>hasta el 31 de diciembre de 2033.</w:t>
            </w:r>
          </w:p>
          <w:p w14:paraId="197ACE75" w14:textId="77777777" w:rsidR="00F12FAE" w:rsidRPr="007F5335" w:rsidRDefault="00F12FAE" w:rsidP="007F5335">
            <w:pPr>
              <w:spacing w:after="60"/>
              <w:contextualSpacing/>
              <w:jc w:val="left"/>
              <w:cnfStyle w:val="000000000000" w:firstRow="0" w:lastRow="0" w:firstColumn="0" w:lastColumn="0" w:oddVBand="0" w:evenVBand="0" w:oddHBand="0" w:evenHBand="0" w:firstRowFirstColumn="0" w:firstRowLastColumn="0" w:lastRowFirstColumn="0" w:lastRowLastColumn="0"/>
              <w:rPr>
                <w:rFonts w:ascii="Calibri" w:hAnsi="Calibri" w:cs="Calibri"/>
                <w:b/>
                <w:bCs/>
                <w:color w:val="auto"/>
                <w:sz w:val="16"/>
                <w:szCs w:val="16"/>
              </w:rPr>
            </w:pPr>
            <w:r w:rsidRPr="007F5335">
              <w:rPr>
                <w:rFonts w:ascii="Calibri" w:hAnsi="Calibri" w:cs="Calibri"/>
                <w:b/>
                <w:bCs/>
                <w:color w:val="C45911" w:themeColor="accent2" w:themeShade="BF"/>
                <w:sz w:val="16"/>
                <w:szCs w:val="16"/>
              </w:rPr>
              <w:t>Reglamento de Ejecución (UE) 2024/2027</w:t>
            </w:r>
          </w:p>
          <w:p w14:paraId="42CFCE51" w14:textId="77777777" w:rsidR="00F12FAE" w:rsidRDefault="00F12FAE" w:rsidP="00002BC2">
            <w:pPr>
              <w:pStyle w:val="Prrafodelista"/>
              <w:numPr>
                <w:ilvl w:val="0"/>
                <w:numId w:val="83"/>
              </w:numPr>
              <w:spacing w:after="60"/>
              <w:ind w:left="457"/>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Pr>
                <w:rFonts w:ascii="Calibri" w:hAnsi="Calibri" w:cs="Calibri"/>
                <w:color w:val="auto"/>
                <w:sz w:val="16"/>
                <w:szCs w:val="16"/>
              </w:rPr>
              <w:t>D</w:t>
            </w:r>
            <w:r w:rsidRPr="007F5335">
              <w:rPr>
                <w:rFonts w:ascii="Calibri" w:hAnsi="Calibri" w:cs="Calibri"/>
                <w:color w:val="auto"/>
                <w:sz w:val="16"/>
                <w:szCs w:val="16"/>
              </w:rPr>
              <w:t xml:space="preserve">etalla los requisitos para verificar el cumplimiento de las normativas </w:t>
            </w:r>
            <w:proofErr w:type="spellStart"/>
            <w:r w:rsidRPr="007F5335">
              <w:rPr>
                <w:rFonts w:ascii="Calibri" w:hAnsi="Calibri" w:cs="Calibri"/>
                <w:color w:val="auto"/>
                <w:sz w:val="16"/>
                <w:szCs w:val="16"/>
              </w:rPr>
              <w:t>FuelEU</w:t>
            </w:r>
            <w:proofErr w:type="spellEnd"/>
            <w:r w:rsidRPr="007F5335">
              <w:rPr>
                <w:rFonts w:ascii="Calibri" w:hAnsi="Calibri" w:cs="Calibri"/>
                <w:color w:val="auto"/>
                <w:sz w:val="16"/>
                <w:szCs w:val="16"/>
              </w:rPr>
              <w:t xml:space="preserve"> </w:t>
            </w:r>
            <w:proofErr w:type="spellStart"/>
            <w:r w:rsidRPr="007F5335">
              <w:rPr>
                <w:rFonts w:ascii="Calibri" w:hAnsi="Calibri" w:cs="Calibri"/>
                <w:color w:val="auto"/>
                <w:sz w:val="16"/>
                <w:szCs w:val="16"/>
              </w:rPr>
              <w:t>Maritime</w:t>
            </w:r>
            <w:proofErr w:type="spellEnd"/>
          </w:p>
          <w:p w14:paraId="0E4EAA69" w14:textId="77777777" w:rsidR="00F12FAE" w:rsidRPr="007F5335" w:rsidRDefault="00F12FAE" w:rsidP="007F5335">
            <w:pPr>
              <w:spacing w:after="60"/>
              <w:jc w:val="left"/>
              <w:cnfStyle w:val="000000000000" w:firstRow="0" w:lastRow="0" w:firstColumn="0" w:lastColumn="0" w:oddVBand="0" w:evenVBand="0" w:oddHBand="0" w:evenHBand="0" w:firstRowFirstColumn="0" w:firstRowLastColumn="0" w:lastRowFirstColumn="0" w:lastRowLastColumn="0"/>
              <w:rPr>
                <w:rFonts w:ascii="Calibri" w:hAnsi="Calibri" w:cs="Calibri"/>
                <w:b/>
                <w:bCs/>
                <w:color w:val="auto"/>
                <w:sz w:val="16"/>
                <w:szCs w:val="16"/>
              </w:rPr>
            </w:pPr>
            <w:r w:rsidRPr="007F5335">
              <w:rPr>
                <w:rFonts w:ascii="Calibri" w:hAnsi="Calibri" w:cs="Calibri"/>
                <w:b/>
                <w:bCs/>
                <w:color w:val="C45911" w:themeColor="accent2" w:themeShade="BF"/>
                <w:sz w:val="16"/>
                <w:szCs w:val="16"/>
              </w:rPr>
              <w:t>Reglamento de Ejecución (UE) 2024/2031</w:t>
            </w:r>
          </w:p>
          <w:p w14:paraId="6AE731F1" w14:textId="060E5DCA" w:rsidR="00F12FAE" w:rsidRPr="007F5335" w:rsidRDefault="00F12FAE" w:rsidP="00002BC2">
            <w:pPr>
              <w:pStyle w:val="Prrafodelista"/>
              <w:numPr>
                <w:ilvl w:val="0"/>
                <w:numId w:val="83"/>
              </w:numPr>
              <w:spacing w:after="60"/>
              <w:ind w:left="457"/>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Pr>
                <w:rFonts w:ascii="Calibri" w:hAnsi="Calibri" w:cs="Calibri"/>
                <w:color w:val="auto"/>
                <w:sz w:val="16"/>
                <w:szCs w:val="16"/>
              </w:rPr>
              <w:t>E</w:t>
            </w:r>
            <w:r w:rsidRPr="007F5335">
              <w:rPr>
                <w:rFonts w:ascii="Calibri" w:hAnsi="Calibri" w:cs="Calibri"/>
                <w:color w:val="auto"/>
                <w:sz w:val="16"/>
                <w:szCs w:val="16"/>
              </w:rPr>
              <w:t>stablece el formato de la plantilla electrónica del plan de seguimiento</w:t>
            </w:r>
          </w:p>
        </w:tc>
      </w:tr>
      <w:tr w:rsidR="00F12FAE" w:rsidRPr="0089303E" w14:paraId="403764F3" w14:textId="77777777" w:rsidTr="00435E18">
        <w:trPr>
          <w:cnfStyle w:val="000000100000" w:firstRow="0" w:lastRow="0" w:firstColumn="0" w:lastColumn="0" w:oddVBand="0" w:evenVBand="0" w:oddHBand="1" w:evenHBand="0" w:firstRowFirstColumn="0" w:firstRowLastColumn="0" w:lastRowFirstColumn="0" w:lastRowLastColumn="0"/>
          <w:trHeight w:val="761"/>
        </w:trPr>
        <w:tc>
          <w:tcPr>
            <w:cnfStyle w:val="001000000000" w:firstRow="0" w:lastRow="0" w:firstColumn="1" w:lastColumn="0" w:oddVBand="0" w:evenVBand="0" w:oddHBand="0" w:evenHBand="0" w:firstRowFirstColumn="0" w:firstRowLastColumn="0" w:lastRowFirstColumn="0" w:lastRowLastColumn="0"/>
            <w:tcW w:w="174" w:type="pct"/>
            <w:vMerge/>
            <w:shd w:val="clear" w:color="auto" w:fill="1D3C5A"/>
          </w:tcPr>
          <w:p w14:paraId="56A3F7EB" w14:textId="77777777" w:rsidR="00F12FAE" w:rsidRPr="0089303E" w:rsidRDefault="00F12FAE" w:rsidP="0089303E">
            <w:pPr>
              <w:spacing w:after="60"/>
              <w:jc w:val="center"/>
              <w:rPr>
                <w:rFonts w:ascii="Calibri Light" w:hAnsi="Calibri Light" w:cs="Calibri Light"/>
                <w:color w:val="FFFFFF"/>
                <w:sz w:val="16"/>
                <w:szCs w:val="16"/>
              </w:rPr>
            </w:pPr>
          </w:p>
        </w:tc>
        <w:tc>
          <w:tcPr>
            <w:tcW w:w="652" w:type="pct"/>
            <w:shd w:val="clear" w:color="auto" w:fill="auto"/>
            <w:vAlign w:val="center"/>
          </w:tcPr>
          <w:p w14:paraId="6B6ADCFE" w14:textId="164C0B6C" w:rsidR="00F12FAE" w:rsidRPr="00377592" w:rsidRDefault="00F12FAE" w:rsidP="0089303E">
            <w:pPr>
              <w:spacing w:after="60"/>
              <w:jc w:val="left"/>
              <w:cnfStyle w:val="000000100000" w:firstRow="0" w:lastRow="0" w:firstColumn="0" w:lastColumn="0" w:oddVBand="0" w:evenVBand="0" w:oddHBand="1" w:evenHBand="0" w:firstRowFirstColumn="0" w:firstRowLastColumn="0" w:lastRowFirstColumn="0" w:lastRowLastColumn="0"/>
              <w:rPr>
                <w:rFonts w:ascii="Calibri Light" w:hAnsi="Calibri Light" w:cs="Calibri Light"/>
                <w:b/>
                <w:bCs/>
                <w:sz w:val="18"/>
                <w:szCs w:val="18"/>
              </w:rPr>
            </w:pPr>
            <w:r w:rsidRPr="00002BC2">
              <w:rPr>
                <w:rFonts w:ascii="Calibri Light" w:hAnsi="Calibri Light" w:cs="Calibri Light"/>
                <w:b/>
                <w:bCs/>
                <w:sz w:val="18"/>
                <w:szCs w:val="18"/>
              </w:rPr>
              <w:t>Directiva de contaminación procedente de buques (Directiva 2005/35/CE)</w:t>
            </w:r>
          </w:p>
        </w:tc>
        <w:tc>
          <w:tcPr>
            <w:tcW w:w="869" w:type="pct"/>
            <w:shd w:val="clear" w:color="auto" w:fill="auto"/>
            <w:vAlign w:val="center"/>
          </w:tcPr>
          <w:p w14:paraId="7DACE851" w14:textId="77777777" w:rsidR="00F12FAE" w:rsidRPr="0089303E" w:rsidRDefault="00F12FAE" w:rsidP="0089303E">
            <w:pPr>
              <w:spacing w:after="6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6"/>
                <w:szCs w:val="16"/>
              </w:rPr>
            </w:pPr>
          </w:p>
        </w:tc>
        <w:tc>
          <w:tcPr>
            <w:tcW w:w="740" w:type="pct"/>
            <w:shd w:val="clear" w:color="auto" w:fill="auto"/>
            <w:vAlign w:val="center"/>
          </w:tcPr>
          <w:p w14:paraId="6D5968EE" w14:textId="77777777" w:rsidR="00F12FAE" w:rsidRPr="0089303E" w:rsidRDefault="00F12FAE" w:rsidP="0089303E">
            <w:pPr>
              <w:spacing w:after="6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6"/>
                <w:szCs w:val="16"/>
              </w:rPr>
            </w:pPr>
          </w:p>
        </w:tc>
        <w:tc>
          <w:tcPr>
            <w:tcW w:w="870" w:type="pct"/>
            <w:shd w:val="clear" w:color="auto" w:fill="auto"/>
            <w:vAlign w:val="center"/>
          </w:tcPr>
          <w:p w14:paraId="1A1B55E5" w14:textId="77777777" w:rsidR="00F12FAE" w:rsidRPr="0089303E" w:rsidRDefault="00F12FAE" w:rsidP="0089303E">
            <w:pPr>
              <w:spacing w:after="60"/>
              <w:ind w:left="461"/>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6"/>
                <w:szCs w:val="16"/>
              </w:rPr>
            </w:pPr>
          </w:p>
        </w:tc>
        <w:tc>
          <w:tcPr>
            <w:tcW w:w="826" w:type="pct"/>
            <w:shd w:val="clear" w:color="auto" w:fill="auto"/>
            <w:vAlign w:val="center"/>
          </w:tcPr>
          <w:p w14:paraId="25BAE72B" w14:textId="77777777" w:rsidR="00F12FAE" w:rsidRPr="0089303E" w:rsidRDefault="00F12FAE" w:rsidP="0089303E">
            <w:pPr>
              <w:spacing w:after="6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6"/>
                <w:szCs w:val="16"/>
              </w:rPr>
            </w:pPr>
          </w:p>
        </w:tc>
        <w:tc>
          <w:tcPr>
            <w:tcW w:w="869" w:type="pct"/>
            <w:shd w:val="clear" w:color="auto" w:fill="auto"/>
            <w:vAlign w:val="center"/>
          </w:tcPr>
          <w:p w14:paraId="0E4DCC45" w14:textId="77777777" w:rsidR="00F12FAE" w:rsidRPr="00002BC2" w:rsidRDefault="00F12FAE" w:rsidP="0089303E">
            <w:pPr>
              <w:spacing w:after="60"/>
              <w:jc w:val="left"/>
              <w:cnfStyle w:val="000000100000" w:firstRow="0" w:lastRow="0" w:firstColumn="0" w:lastColumn="0" w:oddVBand="0" w:evenVBand="0" w:oddHBand="1" w:evenHBand="0" w:firstRowFirstColumn="0" w:firstRowLastColumn="0" w:lastRowFirstColumn="0" w:lastRowLastColumn="0"/>
              <w:rPr>
                <w:rFonts w:ascii="Calibri" w:hAnsi="Calibri" w:cs="Calibri"/>
                <w:b/>
                <w:bCs/>
                <w:color w:val="C45911" w:themeColor="accent2" w:themeShade="BF"/>
                <w:sz w:val="16"/>
                <w:szCs w:val="16"/>
              </w:rPr>
            </w:pPr>
            <w:r w:rsidRPr="00002BC2">
              <w:rPr>
                <w:rFonts w:ascii="Calibri" w:hAnsi="Calibri" w:cs="Calibri"/>
                <w:b/>
                <w:bCs/>
                <w:color w:val="C45911" w:themeColor="accent2" w:themeShade="BF"/>
                <w:sz w:val="16"/>
                <w:szCs w:val="16"/>
              </w:rPr>
              <w:t>Directiva (UE) 2024/3101</w:t>
            </w:r>
          </w:p>
          <w:p w14:paraId="0F4085E6" w14:textId="77777777" w:rsidR="00F12FAE" w:rsidRDefault="00F12FAE" w:rsidP="00002BC2">
            <w:pPr>
              <w:pStyle w:val="Prrafodelista"/>
              <w:numPr>
                <w:ilvl w:val="0"/>
                <w:numId w:val="83"/>
              </w:numPr>
              <w:spacing w:after="60"/>
              <w:ind w:left="457"/>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6"/>
                <w:szCs w:val="16"/>
              </w:rPr>
            </w:pPr>
            <w:r>
              <w:rPr>
                <w:rFonts w:ascii="Calibri" w:hAnsi="Calibri" w:cs="Calibri"/>
                <w:color w:val="auto"/>
                <w:sz w:val="16"/>
                <w:szCs w:val="16"/>
              </w:rPr>
              <w:t>A</w:t>
            </w:r>
            <w:r w:rsidRPr="00002BC2">
              <w:rPr>
                <w:rFonts w:ascii="Calibri" w:hAnsi="Calibri" w:cs="Calibri"/>
                <w:color w:val="auto"/>
                <w:sz w:val="16"/>
                <w:szCs w:val="16"/>
              </w:rPr>
              <w:t>ctualiza normas sobre contaminación por buques, introduce sanciones, refuerza la integración con estándares internacionales, y establece plazos de implementación hasta 2027</w:t>
            </w:r>
          </w:p>
          <w:p w14:paraId="0E432036" w14:textId="4D768B77" w:rsidR="00F12FAE" w:rsidRPr="00002BC2" w:rsidRDefault="00F12FAE" w:rsidP="00002BC2">
            <w:pPr>
              <w:pStyle w:val="Prrafodelista"/>
              <w:numPr>
                <w:ilvl w:val="0"/>
                <w:numId w:val="83"/>
              </w:numPr>
              <w:spacing w:after="60"/>
              <w:ind w:left="457"/>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6"/>
                <w:szCs w:val="16"/>
              </w:rPr>
            </w:pPr>
            <w:r w:rsidRPr="00002BC2">
              <w:rPr>
                <w:rFonts w:ascii="Calibri" w:hAnsi="Calibri" w:cs="Calibri"/>
                <w:color w:val="auto"/>
                <w:sz w:val="16"/>
                <w:szCs w:val="16"/>
              </w:rPr>
              <w:t>Incluye nuevas disposiciones sobre basura plástica, pérdida de contenedores y datos ambientales, alineándose con el Convenio MARPOL</w:t>
            </w:r>
          </w:p>
        </w:tc>
      </w:tr>
      <w:tr w:rsidR="00F12FAE" w:rsidRPr="0089303E" w14:paraId="269AE8E5" w14:textId="77777777" w:rsidTr="00435E18">
        <w:trPr>
          <w:trHeight w:val="761"/>
        </w:trPr>
        <w:tc>
          <w:tcPr>
            <w:cnfStyle w:val="001000000000" w:firstRow="0" w:lastRow="0" w:firstColumn="1" w:lastColumn="0" w:oddVBand="0" w:evenVBand="0" w:oddHBand="0" w:evenHBand="0" w:firstRowFirstColumn="0" w:firstRowLastColumn="0" w:lastRowFirstColumn="0" w:lastRowLastColumn="0"/>
            <w:tcW w:w="174" w:type="pct"/>
            <w:vMerge/>
            <w:shd w:val="clear" w:color="auto" w:fill="1D3C5A"/>
          </w:tcPr>
          <w:p w14:paraId="3C85E453" w14:textId="77777777" w:rsidR="00F12FAE" w:rsidRPr="0089303E" w:rsidRDefault="00F12FAE" w:rsidP="0089303E">
            <w:pPr>
              <w:spacing w:after="60"/>
              <w:jc w:val="center"/>
              <w:rPr>
                <w:rFonts w:ascii="Calibri Light" w:hAnsi="Calibri Light" w:cs="Calibri Light"/>
                <w:color w:val="FFFFFF"/>
                <w:sz w:val="16"/>
                <w:szCs w:val="16"/>
              </w:rPr>
            </w:pPr>
          </w:p>
        </w:tc>
        <w:tc>
          <w:tcPr>
            <w:tcW w:w="652" w:type="pct"/>
            <w:shd w:val="clear" w:color="auto" w:fill="F6F9FC"/>
            <w:vAlign w:val="center"/>
          </w:tcPr>
          <w:p w14:paraId="77952721" w14:textId="6280D087" w:rsidR="00F12FAE" w:rsidRPr="00377592" w:rsidRDefault="00F12FAE" w:rsidP="0089303E">
            <w:pPr>
              <w:spacing w:after="60"/>
              <w:jc w:val="left"/>
              <w:cnfStyle w:val="000000000000" w:firstRow="0" w:lastRow="0" w:firstColumn="0" w:lastColumn="0" w:oddVBand="0" w:evenVBand="0" w:oddHBand="0" w:evenHBand="0" w:firstRowFirstColumn="0" w:firstRowLastColumn="0" w:lastRowFirstColumn="0" w:lastRowLastColumn="0"/>
              <w:rPr>
                <w:rFonts w:ascii="Calibri Light" w:hAnsi="Calibri Light" w:cs="Calibri Light"/>
                <w:b/>
                <w:bCs/>
                <w:sz w:val="18"/>
                <w:szCs w:val="18"/>
              </w:rPr>
            </w:pPr>
            <w:r w:rsidRPr="00A33448">
              <w:rPr>
                <w:rFonts w:ascii="Calibri Light" w:hAnsi="Calibri Light" w:cs="Calibri Light"/>
                <w:b/>
                <w:bCs/>
                <w:color w:val="25775E"/>
                <w:sz w:val="18"/>
                <w:szCs w:val="18"/>
              </w:rPr>
              <w:t>Reglamento (UE) 2023/2297</w:t>
            </w:r>
          </w:p>
        </w:tc>
        <w:tc>
          <w:tcPr>
            <w:tcW w:w="869" w:type="pct"/>
            <w:shd w:val="clear" w:color="auto" w:fill="F6F9FC"/>
            <w:vAlign w:val="center"/>
          </w:tcPr>
          <w:p w14:paraId="300B1B2B" w14:textId="77777777" w:rsidR="00F12FAE" w:rsidRPr="0089303E" w:rsidRDefault="00F12FAE" w:rsidP="0089303E">
            <w:pPr>
              <w:spacing w:after="6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p>
        </w:tc>
        <w:tc>
          <w:tcPr>
            <w:tcW w:w="740" w:type="pct"/>
            <w:shd w:val="clear" w:color="auto" w:fill="F6F9FC"/>
            <w:vAlign w:val="center"/>
          </w:tcPr>
          <w:p w14:paraId="351E15F7" w14:textId="77777777" w:rsidR="00F12FAE" w:rsidRPr="0089303E" w:rsidRDefault="00F12FAE" w:rsidP="0089303E">
            <w:pPr>
              <w:spacing w:after="6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p>
        </w:tc>
        <w:tc>
          <w:tcPr>
            <w:tcW w:w="870" w:type="pct"/>
            <w:shd w:val="clear" w:color="auto" w:fill="F6F9FC"/>
            <w:vAlign w:val="center"/>
          </w:tcPr>
          <w:p w14:paraId="5E3D7A4C" w14:textId="77777777" w:rsidR="00F12FAE" w:rsidRPr="0089303E" w:rsidRDefault="00F12FAE" w:rsidP="0089303E">
            <w:pPr>
              <w:spacing w:after="60"/>
              <w:ind w:left="461"/>
              <w:contextualSpacing/>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p>
        </w:tc>
        <w:tc>
          <w:tcPr>
            <w:tcW w:w="826" w:type="pct"/>
            <w:shd w:val="clear" w:color="auto" w:fill="F6F9FC"/>
            <w:vAlign w:val="center"/>
          </w:tcPr>
          <w:p w14:paraId="7789A014" w14:textId="77777777" w:rsidR="00F12FAE" w:rsidRPr="0089303E" w:rsidRDefault="00F12FAE" w:rsidP="0089303E">
            <w:pPr>
              <w:spacing w:after="6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p>
        </w:tc>
        <w:tc>
          <w:tcPr>
            <w:tcW w:w="869" w:type="pct"/>
            <w:shd w:val="clear" w:color="auto" w:fill="F6F9FC"/>
            <w:vAlign w:val="center"/>
          </w:tcPr>
          <w:p w14:paraId="75CF23BC" w14:textId="530291CF" w:rsidR="00F12FAE" w:rsidRPr="00A33448" w:rsidRDefault="00F12FAE" w:rsidP="00002BC2">
            <w:pPr>
              <w:pStyle w:val="Prrafodelista"/>
              <w:numPr>
                <w:ilvl w:val="0"/>
                <w:numId w:val="83"/>
              </w:numPr>
              <w:spacing w:after="60"/>
              <w:ind w:left="457"/>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Pr>
                <w:rFonts w:ascii="Calibri" w:hAnsi="Calibri" w:cs="Calibri"/>
                <w:color w:val="auto"/>
                <w:sz w:val="16"/>
                <w:szCs w:val="16"/>
              </w:rPr>
              <w:t xml:space="preserve">Determina los puertos de </w:t>
            </w:r>
            <w:r w:rsidRPr="00A33448">
              <w:rPr>
                <w:rFonts w:ascii="Calibri" w:hAnsi="Calibri" w:cs="Calibri"/>
                <w:color w:val="auto"/>
                <w:sz w:val="16"/>
                <w:szCs w:val="16"/>
              </w:rPr>
              <w:t xml:space="preserve">East Port Said en Egipto y </w:t>
            </w:r>
            <w:proofErr w:type="spellStart"/>
            <w:r w:rsidRPr="00A33448">
              <w:rPr>
                <w:rFonts w:ascii="Calibri" w:hAnsi="Calibri" w:cs="Calibri"/>
                <w:color w:val="auto"/>
                <w:sz w:val="16"/>
                <w:szCs w:val="16"/>
              </w:rPr>
              <w:t>Tanger</w:t>
            </w:r>
            <w:proofErr w:type="spellEnd"/>
            <w:r w:rsidRPr="00A33448">
              <w:rPr>
                <w:rFonts w:ascii="Calibri" w:hAnsi="Calibri" w:cs="Calibri"/>
                <w:color w:val="auto"/>
                <w:sz w:val="16"/>
                <w:szCs w:val="16"/>
              </w:rPr>
              <w:t xml:space="preserve"> </w:t>
            </w:r>
            <w:proofErr w:type="spellStart"/>
            <w:r w:rsidRPr="00A33448">
              <w:rPr>
                <w:rFonts w:ascii="Calibri" w:hAnsi="Calibri" w:cs="Calibri"/>
                <w:color w:val="auto"/>
                <w:sz w:val="16"/>
                <w:szCs w:val="16"/>
              </w:rPr>
              <w:t>Med</w:t>
            </w:r>
            <w:proofErr w:type="spellEnd"/>
            <w:r w:rsidRPr="00A33448">
              <w:rPr>
                <w:rFonts w:ascii="Calibri" w:hAnsi="Calibri" w:cs="Calibri"/>
                <w:color w:val="auto"/>
                <w:sz w:val="16"/>
                <w:szCs w:val="16"/>
              </w:rPr>
              <w:t xml:space="preserve"> en Marruecos</w:t>
            </w:r>
            <w:r>
              <w:rPr>
                <w:rFonts w:ascii="Calibri" w:hAnsi="Calibri" w:cs="Calibri"/>
                <w:color w:val="auto"/>
                <w:sz w:val="16"/>
                <w:szCs w:val="16"/>
              </w:rPr>
              <w:t xml:space="preserve"> como </w:t>
            </w:r>
            <w:r w:rsidRPr="00A33448">
              <w:rPr>
                <w:rFonts w:ascii="Calibri" w:hAnsi="Calibri" w:cs="Calibri"/>
                <w:color w:val="auto"/>
                <w:sz w:val="16"/>
                <w:szCs w:val="16"/>
              </w:rPr>
              <w:t>puertos vecinos de transbordo de contenedores para prevenir el riesgo de escalas evasivas de buques y la reubicación de actividades de transbordo fuera de la UE</w:t>
            </w:r>
            <w:r>
              <w:rPr>
                <w:rFonts w:ascii="Calibri" w:hAnsi="Calibri" w:cs="Calibri"/>
                <w:color w:val="auto"/>
                <w:sz w:val="16"/>
                <w:szCs w:val="16"/>
              </w:rPr>
              <w:t>.</w:t>
            </w:r>
          </w:p>
        </w:tc>
      </w:tr>
      <w:tr w:rsidR="00F12FAE" w:rsidRPr="0089303E" w14:paraId="50962D2D" w14:textId="77777777" w:rsidTr="00435E18">
        <w:trPr>
          <w:cnfStyle w:val="000000100000" w:firstRow="0" w:lastRow="0" w:firstColumn="0" w:lastColumn="0" w:oddVBand="0" w:evenVBand="0" w:oddHBand="1" w:evenHBand="0" w:firstRowFirstColumn="0" w:firstRowLastColumn="0" w:lastRowFirstColumn="0" w:lastRowLastColumn="0"/>
          <w:trHeight w:val="761"/>
        </w:trPr>
        <w:tc>
          <w:tcPr>
            <w:cnfStyle w:val="001000000000" w:firstRow="0" w:lastRow="0" w:firstColumn="1" w:lastColumn="0" w:oddVBand="0" w:evenVBand="0" w:oddHBand="0" w:evenHBand="0" w:firstRowFirstColumn="0" w:firstRowLastColumn="0" w:lastRowFirstColumn="0" w:lastRowLastColumn="0"/>
            <w:tcW w:w="174" w:type="pct"/>
            <w:vMerge/>
            <w:shd w:val="clear" w:color="auto" w:fill="1D3C5A"/>
          </w:tcPr>
          <w:p w14:paraId="19BBC79F" w14:textId="77777777" w:rsidR="00F12FAE" w:rsidRPr="0089303E" w:rsidRDefault="00F12FAE" w:rsidP="0089303E">
            <w:pPr>
              <w:spacing w:after="60"/>
              <w:jc w:val="center"/>
              <w:rPr>
                <w:rFonts w:ascii="Calibri Light" w:hAnsi="Calibri Light" w:cs="Calibri Light"/>
                <w:color w:val="FFFFFF"/>
                <w:sz w:val="16"/>
                <w:szCs w:val="16"/>
              </w:rPr>
            </w:pPr>
          </w:p>
        </w:tc>
        <w:tc>
          <w:tcPr>
            <w:tcW w:w="652" w:type="pct"/>
            <w:shd w:val="clear" w:color="auto" w:fill="auto"/>
            <w:vAlign w:val="center"/>
          </w:tcPr>
          <w:p w14:paraId="53E5D888" w14:textId="4EB1AF77" w:rsidR="00F12FAE" w:rsidRPr="00A33448" w:rsidRDefault="00F12FAE" w:rsidP="0089303E">
            <w:pPr>
              <w:spacing w:after="60"/>
              <w:jc w:val="left"/>
              <w:cnfStyle w:val="000000100000" w:firstRow="0" w:lastRow="0" w:firstColumn="0" w:lastColumn="0" w:oddVBand="0" w:evenVBand="0" w:oddHBand="1" w:evenHBand="0" w:firstRowFirstColumn="0" w:firstRowLastColumn="0" w:lastRowFirstColumn="0" w:lastRowLastColumn="0"/>
              <w:rPr>
                <w:rFonts w:ascii="Calibri Light" w:hAnsi="Calibri Light" w:cs="Calibri Light"/>
                <w:b/>
                <w:bCs/>
                <w:color w:val="25775E"/>
                <w:sz w:val="18"/>
                <w:szCs w:val="18"/>
              </w:rPr>
            </w:pPr>
            <w:r w:rsidRPr="00A33448">
              <w:rPr>
                <w:rFonts w:ascii="Calibri Light" w:hAnsi="Calibri Light" w:cs="Calibri Light"/>
                <w:b/>
                <w:bCs/>
                <w:color w:val="25775E"/>
                <w:sz w:val="18"/>
                <w:szCs w:val="18"/>
              </w:rPr>
              <w:t>Reglamento de Ejecución (UE) 2023/2449</w:t>
            </w:r>
          </w:p>
        </w:tc>
        <w:tc>
          <w:tcPr>
            <w:tcW w:w="869" w:type="pct"/>
            <w:shd w:val="clear" w:color="auto" w:fill="auto"/>
            <w:vAlign w:val="center"/>
          </w:tcPr>
          <w:p w14:paraId="33B0B4F8" w14:textId="77777777" w:rsidR="00F12FAE" w:rsidRPr="0089303E" w:rsidRDefault="00F12FAE" w:rsidP="0089303E">
            <w:pPr>
              <w:spacing w:after="6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6"/>
                <w:szCs w:val="16"/>
              </w:rPr>
            </w:pPr>
          </w:p>
        </w:tc>
        <w:tc>
          <w:tcPr>
            <w:tcW w:w="740" w:type="pct"/>
            <w:shd w:val="clear" w:color="auto" w:fill="auto"/>
            <w:vAlign w:val="center"/>
          </w:tcPr>
          <w:p w14:paraId="1D1B6696" w14:textId="77777777" w:rsidR="00F12FAE" w:rsidRPr="0089303E" w:rsidRDefault="00F12FAE" w:rsidP="0089303E">
            <w:pPr>
              <w:spacing w:after="6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6"/>
                <w:szCs w:val="16"/>
              </w:rPr>
            </w:pPr>
          </w:p>
        </w:tc>
        <w:tc>
          <w:tcPr>
            <w:tcW w:w="870" w:type="pct"/>
            <w:shd w:val="clear" w:color="auto" w:fill="auto"/>
            <w:vAlign w:val="center"/>
          </w:tcPr>
          <w:p w14:paraId="3F3B4FD3" w14:textId="77777777" w:rsidR="00F12FAE" w:rsidRPr="0089303E" w:rsidRDefault="00F12FAE" w:rsidP="0089303E">
            <w:pPr>
              <w:spacing w:after="60"/>
              <w:ind w:left="461"/>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6"/>
                <w:szCs w:val="16"/>
              </w:rPr>
            </w:pPr>
          </w:p>
        </w:tc>
        <w:tc>
          <w:tcPr>
            <w:tcW w:w="826" w:type="pct"/>
            <w:shd w:val="clear" w:color="auto" w:fill="auto"/>
            <w:vAlign w:val="center"/>
          </w:tcPr>
          <w:p w14:paraId="6172287E" w14:textId="77777777" w:rsidR="00F12FAE" w:rsidRPr="0089303E" w:rsidRDefault="00F12FAE" w:rsidP="0089303E">
            <w:pPr>
              <w:spacing w:after="6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6"/>
                <w:szCs w:val="16"/>
              </w:rPr>
            </w:pPr>
          </w:p>
        </w:tc>
        <w:tc>
          <w:tcPr>
            <w:tcW w:w="869" w:type="pct"/>
            <w:shd w:val="clear" w:color="auto" w:fill="auto"/>
            <w:vAlign w:val="center"/>
          </w:tcPr>
          <w:p w14:paraId="7388579E" w14:textId="455D494E" w:rsidR="00F12FAE" w:rsidRDefault="00F12FAE" w:rsidP="00002BC2">
            <w:pPr>
              <w:pStyle w:val="Prrafodelista"/>
              <w:numPr>
                <w:ilvl w:val="0"/>
                <w:numId w:val="83"/>
              </w:numPr>
              <w:spacing w:after="60"/>
              <w:ind w:left="457"/>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6"/>
                <w:szCs w:val="16"/>
              </w:rPr>
            </w:pPr>
            <w:r>
              <w:rPr>
                <w:rFonts w:ascii="Calibri" w:hAnsi="Calibri" w:cs="Calibri"/>
                <w:color w:val="auto"/>
                <w:sz w:val="16"/>
                <w:szCs w:val="16"/>
              </w:rPr>
              <w:t>E</w:t>
            </w:r>
            <w:r w:rsidRPr="00A33448">
              <w:rPr>
                <w:rFonts w:ascii="Calibri" w:hAnsi="Calibri" w:cs="Calibri"/>
                <w:color w:val="auto"/>
                <w:sz w:val="16"/>
                <w:szCs w:val="16"/>
              </w:rPr>
              <w:t xml:space="preserve">stablece las disposiciones para la implementación del Reglamento (UE) 2015/757 sobre el seguimiento, notificación y verificación de las </w:t>
            </w:r>
            <w:r w:rsidRPr="00A33448">
              <w:rPr>
                <w:rFonts w:ascii="Calibri" w:hAnsi="Calibri" w:cs="Calibri"/>
                <w:color w:val="auto"/>
                <w:sz w:val="16"/>
                <w:szCs w:val="16"/>
              </w:rPr>
              <w:lastRenderedPageBreak/>
              <w:t>emisiones de dióxido de carbono del transporte marítimo</w:t>
            </w:r>
          </w:p>
        </w:tc>
      </w:tr>
      <w:tr w:rsidR="00F12FAE" w:rsidRPr="0089303E" w14:paraId="1C0D692E" w14:textId="77777777" w:rsidTr="00435E18">
        <w:trPr>
          <w:trHeight w:val="761"/>
        </w:trPr>
        <w:tc>
          <w:tcPr>
            <w:cnfStyle w:val="001000000000" w:firstRow="0" w:lastRow="0" w:firstColumn="1" w:lastColumn="0" w:oddVBand="0" w:evenVBand="0" w:oddHBand="0" w:evenHBand="0" w:firstRowFirstColumn="0" w:firstRowLastColumn="0" w:lastRowFirstColumn="0" w:lastRowLastColumn="0"/>
            <w:tcW w:w="174" w:type="pct"/>
            <w:vMerge/>
            <w:shd w:val="clear" w:color="auto" w:fill="1D3C5A"/>
          </w:tcPr>
          <w:p w14:paraId="6369FC0B" w14:textId="77777777" w:rsidR="00F12FAE" w:rsidRPr="0089303E" w:rsidRDefault="00F12FAE" w:rsidP="0089303E">
            <w:pPr>
              <w:spacing w:after="60"/>
              <w:jc w:val="center"/>
              <w:rPr>
                <w:rFonts w:ascii="Calibri Light" w:hAnsi="Calibri Light" w:cs="Calibri Light"/>
                <w:color w:val="FFFFFF"/>
                <w:sz w:val="16"/>
                <w:szCs w:val="16"/>
              </w:rPr>
            </w:pPr>
          </w:p>
        </w:tc>
        <w:tc>
          <w:tcPr>
            <w:tcW w:w="652" w:type="pct"/>
            <w:shd w:val="clear" w:color="auto" w:fill="F6F9FC"/>
            <w:vAlign w:val="center"/>
          </w:tcPr>
          <w:p w14:paraId="73F70E61" w14:textId="21CEDD84" w:rsidR="00F12FAE" w:rsidRPr="00A33448" w:rsidRDefault="00F12FAE" w:rsidP="0089303E">
            <w:pPr>
              <w:spacing w:after="60"/>
              <w:jc w:val="left"/>
              <w:cnfStyle w:val="000000000000" w:firstRow="0" w:lastRow="0" w:firstColumn="0" w:lastColumn="0" w:oddVBand="0" w:evenVBand="0" w:oddHBand="0" w:evenHBand="0" w:firstRowFirstColumn="0" w:firstRowLastColumn="0" w:lastRowFirstColumn="0" w:lastRowLastColumn="0"/>
              <w:rPr>
                <w:rFonts w:ascii="Calibri Light" w:hAnsi="Calibri Light" w:cs="Calibri Light"/>
                <w:b/>
                <w:bCs/>
                <w:color w:val="25775E"/>
                <w:sz w:val="18"/>
                <w:szCs w:val="18"/>
              </w:rPr>
            </w:pPr>
            <w:r w:rsidRPr="00002BC2">
              <w:rPr>
                <w:rFonts w:ascii="Calibri Light" w:hAnsi="Calibri Light" w:cs="Calibri Light"/>
                <w:b/>
                <w:bCs/>
                <w:color w:val="25775E"/>
                <w:sz w:val="18"/>
                <w:szCs w:val="18"/>
              </w:rPr>
              <w:t>Paquete legislativo sobre «seguridad marítima»</w:t>
            </w:r>
          </w:p>
        </w:tc>
        <w:tc>
          <w:tcPr>
            <w:tcW w:w="869" w:type="pct"/>
            <w:shd w:val="clear" w:color="auto" w:fill="F6F9FC"/>
            <w:vAlign w:val="center"/>
          </w:tcPr>
          <w:p w14:paraId="67EF9E04" w14:textId="77777777" w:rsidR="00F12FAE" w:rsidRPr="0089303E" w:rsidRDefault="00F12FAE" w:rsidP="0089303E">
            <w:pPr>
              <w:spacing w:after="6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p>
        </w:tc>
        <w:tc>
          <w:tcPr>
            <w:tcW w:w="740" w:type="pct"/>
            <w:shd w:val="clear" w:color="auto" w:fill="F6F9FC"/>
            <w:vAlign w:val="center"/>
          </w:tcPr>
          <w:p w14:paraId="6E8DE62D" w14:textId="77777777" w:rsidR="00F12FAE" w:rsidRPr="0089303E" w:rsidRDefault="00F12FAE" w:rsidP="0089303E">
            <w:pPr>
              <w:spacing w:after="6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p>
        </w:tc>
        <w:tc>
          <w:tcPr>
            <w:tcW w:w="870" w:type="pct"/>
            <w:shd w:val="clear" w:color="auto" w:fill="F6F9FC"/>
            <w:vAlign w:val="center"/>
          </w:tcPr>
          <w:p w14:paraId="54C44DAC" w14:textId="77777777" w:rsidR="00F12FAE" w:rsidRPr="0089303E" w:rsidRDefault="00F12FAE" w:rsidP="0089303E">
            <w:pPr>
              <w:spacing w:after="60"/>
              <w:ind w:left="461"/>
              <w:contextualSpacing/>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p>
        </w:tc>
        <w:tc>
          <w:tcPr>
            <w:tcW w:w="826" w:type="pct"/>
            <w:shd w:val="clear" w:color="auto" w:fill="F6F9FC"/>
            <w:vAlign w:val="center"/>
          </w:tcPr>
          <w:p w14:paraId="09E4AD1C" w14:textId="77777777" w:rsidR="00F12FAE" w:rsidRPr="0089303E" w:rsidRDefault="00F12FAE" w:rsidP="0089303E">
            <w:pPr>
              <w:spacing w:after="6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p>
        </w:tc>
        <w:tc>
          <w:tcPr>
            <w:tcW w:w="869" w:type="pct"/>
            <w:shd w:val="clear" w:color="auto" w:fill="F6F9FC"/>
            <w:vAlign w:val="center"/>
          </w:tcPr>
          <w:p w14:paraId="2F4A940C" w14:textId="77777777" w:rsidR="00F12FAE" w:rsidRDefault="00F12FAE" w:rsidP="00002BC2">
            <w:pPr>
              <w:pStyle w:val="Prrafodelista"/>
              <w:numPr>
                <w:ilvl w:val="0"/>
                <w:numId w:val="83"/>
              </w:numPr>
              <w:spacing w:after="60"/>
              <w:ind w:left="457"/>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Pr>
                <w:rFonts w:ascii="Calibri" w:hAnsi="Calibri" w:cs="Calibri"/>
                <w:color w:val="auto"/>
                <w:sz w:val="16"/>
                <w:szCs w:val="16"/>
              </w:rPr>
              <w:t>A</w:t>
            </w:r>
            <w:r w:rsidRPr="00002BC2">
              <w:rPr>
                <w:rFonts w:ascii="Calibri" w:hAnsi="Calibri" w:cs="Calibri"/>
                <w:color w:val="auto"/>
                <w:sz w:val="16"/>
                <w:szCs w:val="16"/>
              </w:rPr>
              <w:t>mpliación de la investigación de accidentes a buques pesqueros pequeños</w:t>
            </w:r>
          </w:p>
          <w:p w14:paraId="4CE80641" w14:textId="77777777" w:rsidR="00F12FAE" w:rsidRDefault="00F12FAE" w:rsidP="00002BC2">
            <w:pPr>
              <w:pStyle w:val="Prrafodelista"/>
              <w:numPr>
                <w:ilvl w:val="0"/>
                <w:numId w:val="83"/>
              </w:numPr>
              <w:spacing w:after="60"/>
              <w:ind w:left="457"/>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Pr>
                <w:rFonts w:ascii="Calibri" w:hAnsi="Calibri" w:cs="Calibri"/>
                <w:color w:val="auto"/>
                <w:sz w:val="16"/>
                <w:szCs w:val="16"/>
              </w:rPr>
              <w:t>S</w:t>
            </w:r>
            <w:r w:rsidRPr="00002BC2">
              <w:rPr>
                <w:rFonts w:ascii="Calibri" w:hAnsi="Calibri" w:cs="Calibri"/>
                <w:color w:val="auto"/>
                <w:sz w:val="16"/>
                <w:szCs w:val="16"/>
              </w:rPr>
              <w:t>anciones más estrictas por contaminación</w:t>
            </w:r>
          </w:p>
          <w:p w14:paraId="085F07A3" w14:textId="77777777" w:rsidR="00F12FAE" w:rsidRDefault="00F12FAE" w:rsidP="00002BC2">
            <w:pPr>
              <w:pStyle w:val="Prrafodelista"/>
              <w:numPr>
                <w:ilvl w:val="0"/>
                <w:numId w:val="83"/>
              </w:numPr>
              <w:spacing w:after="60"/>
              <w:ind w:left="457"/>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Pr>
                <w:rFonts w:ascii="Calibri" w:hAnsi="Calibri" w:cs="Calibri"/>
                <w:color w:val="auto"/>
                <w:sz w:val="16"/>
                <w:szCs w:val="16"/>
              </w:rPr>
              <w:t>M</w:t>
            </w:r>
            <w:r w:rsidRPr="00002BC2">
              <w:rPr>
                <w:rFonts w:ascii="Calibri" w:hAnsi="Calibri" w:cs="Calibri"/>
                <w:color w:val="auto"/>
                <w:sz w:val="16"/>
                <w:szCs w:val="16"/>
              </w:rPr>
              <w:t>ejor cumplimiento de las normativas internacionales por parte de los buques</w:t>
            </w:r>
          </w:p>
          <w:p w14:paraId="24D1B4AF" w14:textId="0E075B17" w:rsidR="00F12FAE" w:rsidRDefault="00F12FAE" w:rsidP="00002BC2">
            <w:pPr>
              <w:pStyle w:val="Prrafodelista"/>
              <w:numPr>
                <w:ilvl w:val="0"/>
                <w:numId w:val="83"/>
              </w:numPr>
              <w:spacing w:after="60"/>
              <w:ind w:left="457"/>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Pr>
                <w:rFonts w:ascii="Calibri" w:hAnsi="Calibri" w:cs="Calibri"/>
                <w:color w:val="auto"/>
                <w:sz w:val="16"/>
                <w:szCs w:val="16"/>
              </w:rPr>
              <w:t>M</w:t>
            </w:r>
            <w:r w:rsidRPr="00002BC2">
              <w:rPr>
                <w:rFonts w:ascii="Calibri" w:hAnsi="Calibri" w:cs="Calibri"/>
                <w:color w:val="auto"/>
                <w:sz w:val="16"/>
                <w:szCs w:val="16"/>
              </w:rPr>
              <w:t>ejora en las inspecciones de buques extranjeros en puertos</w:t>
            </w:r>
          </w:p>
        </w:tc>
      </w:tr>
      <w:tr w:rsidR="00F12FAE" w:rsidRPr="0089303E" w14:paraId="1DAE4BBB" w14:textId="77777777" w:rsidTr="00435E18">
        <w:trPr>
          <w:cnfStyle w:val="000000100000" w:firstRow="0" w:lastRow="0" w:firstColumn="0" w:lastColumn="0" w:oddVBand="0" w:evenVBand="0" w:oddHBand="1" w:evenHBand="0" w:firstRowFirstColumn="0" w:firstRowLastColumn="0" w:lastRowFirstColumn="0" w:lastRowLastColumn="0"/>
          <w:trHeight w:val="761"/>
        </w:trPr>
        <w:tc>
          <w:tcPr>
            <w:cnfStyle w:val="001000000000" w:firstRow="0" w:lastRow="0" w:firstColumn="1" w:lastColumn="0" w:oddVBand="0" w:evenVBand="0" w:oddHBand="0" w:evenHBand="0" w:firstRowFirstColumn="0" w:firstRowLastColumn="0" w:lastRowFirstColumn="0" w:lastRowLastColumn="0"/>
            <w:tcW w:w="174" w:type="pct"/>
            <w:vMerge/>
            <w:shd w:val="clear" w:color="auto" w:fill="1D3C5A"/>
          </w:tcPr>
          <w:p w14:paraId="7984AC08" w14:textId="77777777" w:rsidR="00F12FAE" w:rsidRPr="0089303E" w:rsidRDefault="00F12FAE" w:rsidP="0089303E">
            <w:pPr>
              <w:spacing w:after="60"/>
              <w:jc w:val="center"/>
              <w:rPr>
                <w:rFonts w:ascii="Calibri Light" w:hAnsi="Calibri Light" w:cs="Calibri Light"/>
                <w:color w:val="FFFFFF"/>
                <w:sz w:val="16"/>
                <w:szCs w:val="16"/>
              </w:rPr>
            </w:pPr>
          </w:p>
        </w:tc>
        <w:tc>
          <w:tcPr>
            <w:tcW w:w="652" w:type="pct"/>
            <w:shd w:val="clear" w:color="auto" w:fill="auto"/>
            <w:vAlign w:val="center"/>
          </w:tcPr>
          <w:p w14:paraId="71C89628" w14:textId="1DAD8831" w:rsidR="00F12FAE" w:rsidRPr="00002BC2" w:rsidRDefault="00F12FAE" w:rsidP="0089303E">
            <w:pPr>
              <w:spacing w:after="60"/>
              <w:jc w:val="left"/>
              <w:cnfStyle w:val="000000100000" w:firstRow="0" w:lastRow="0" w:firstColumn="0" w:lastColumn="0" w:oddVBand="0" w:evenVBand="0" w:oddHBand="1" w:evenHBand="0" w:firstRowFirstColumn="0" w:firstRowLastColumn="0" w:lastRowFirstColumn="0" w:lastRowLastColumn="0"/>
              <w:rPr>
                <w:rFonts w:ascii="Calibri Light" w:hAnsi="Calibri Light" w:cs="Calibri Light"/>
                <w:b/>
                <w:bCs/>
                <w:color w:val="25775E"/>
                <w:sz w:val="18"/>
                <w:szCs w:val="18"/>
              </w:rPr>
            </w:pPr>
            <w:r w:rsidRPr="00002BC2">
              <w:rPr>
                <w:rFonts w:ascii="Calibri Light" w:hAnsi="Calibri Light" w:cs="Calibri Light"/>
                <w:b/>
                <w:bCs/>
                <w:color w:val="25775E"/>
                <w:sz w:val="18"/>
                <w:szCs w:val="18"/>
              </w:rPr>
              <w:t>Consulta sobre el UK ETS y el Transporte Marítimo</w:t>
            </w:r>
          </w:p>
        </w:tc>
        <w:tc>
          <w:tcPr>
            <w:tcW w:w="869" w:type="pct"/>
            <w:shd w:val="clear" w:color="auto" w:fill="auto"/>
            <w:vAlign w:val="center"/>
          </w:tcPr>
          <w:p w14:paraId="3735620F" w14:textId="77777777" w:rsidR="00F12FAE" w:rsidRPr="0089303E" w:rsidRDefault="00F12FAE" w:rsidP="0089303E">
            <w:pPr>
              <w:spacing w:after="6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6"/>
                <w:szCs w:val="16"/>
              </w:rPr>
            </w:pPr>
          </w:p>
        </w:tc>
        <w:tc>
          <w:tcPr>
            <w:tcW w:w="740" w:type="pct"/>
            <w:shd w:val="clear" w:color="auto" w:fill="auto"/>
            <w:vAlign w:val="center"/>
          </w:tcPr>
          <w:p w14:paraId="15FFB816" w14:textId="77777777" w:rsidR="00F12FAE" w:rsidRPr="0089303E" w:rsidRDefault="00F12FAE" w:rsidP="0089303E">
            <w:pPr>
              <w:spacing w:after="6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6"/>
                <w:szCs w:val="16"/>
              </w:rPr>
            </w:pPr>
          </w:p>
        </w:tc>
        <w:tc>
          <w:tcPr>
            <w:tcW w:w="870" w:type="pct"/>
            <w:shd w:val="clear" w:color="auto" w:fill="auto"/>
            <w:vAlign w:val="center"/>
          </w:tcPr>
          <w:p w14:paraId="0E45E748" w14:textId="77777777" w:rsidR="00F12FAE" w:rsidRPr="0089303E" w:rsidRDefault="00F12FAE" w:rsidP="0089303E">
            <w:pPr>
              <w:spacing w:after="60"/>
              <w:ind w:left="461"/>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6"/>
                <w:szCs w:val="16"/>
              </w:rPr>
            </w:pPr>
          </w:p>
        </w:tc>
        <w:tc>
          <w:tcPr>
            <w:tcW w:w="826" w:type="pct"/>
            <w:shd w:val="clear" w:color="auto" w:fill="auto"/>
            <w:vAlign w:val="center"/>
          </w:tcPr>
          <w:p w14:paraId="2AC66CFB" w14:textId="77777777" w:rsidR="00F12FAE" w:rsidRPr="0089303E" w:rsidRDefault="00F12FAE" w:rsidP="0089303E">
            <w:pPr>
              <w:spacing w:after="6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6"/>
                <w:szCs w:val="16"/>
              </w:rPr>
            </w:pPr>
          </w:p>
        </w:tc>
        <w:tc>
          <w:tcPr>
            <w:tcW w:w="869" w:type="pct"/>
            <w:shd w:val="clear" w:color="auto" w:fill="auto"/>
            <w:vAlign w:val="center"/>
          </w:tcPr>
          <w:p w14:paraId="558EC8D4" w14:textId="51F039F6" w:rsidR="00F12FAE" w:rsidRDefault="00F12FAE" w:rsidP="00002BC2">
            <w:pPr>
              <w:pStyle w:val="Prrafodelista"/>
              <w:numPr>
                <w:ilvl w:val="0"/>
                <w:numId w:val="83"/>
              </w:numPr>
              <w:spacing w:after="60"/>
              <w:ind w:left="457"/>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6"/>
                <w:szCs w:val="16"/>
              </w:rPr>
            </w:pPr>
            <w:r>
              <w:rPr>
                <w:rFonts w:ascii="Calibri" w:hAnsi="Calibri" w:cs="Calibri"/>
                <w:color w:val="auto"/>
                <w:sz w:val="16"/>
                <w:szCs w:val="16"/>
              </w:rPr>
              <w:t>I</w:t>
            </w:r>
            <w:r w:rsidRPr="00002BC2">
              <w:rPr>
                <w:rFonts w:ascii="Calibri" w:hAnsi="Calibri" w:cs="Calibri"/>
                <w:color w:val="auto"/>
                <w:sz w:val="16"/>
                <w:szCs w:val="16"/>
              </w:rPr>
              <w:t>nclu</w:t>
            </w:r>
            <w:r>
              <w:rPr>
                <w:rFonts w:ascii="Calibri" w:hAnsi="Calibri" w:cs="Calibri"/>
                <w:color w:val="auto"/>
                <w:sz w:val="16"/>
                <w:szCs w:val="16"/>
              </w:rPr>
              <w:t>sión de</w:t>
            </w:r>
            <w:r w:rsidRPr="00002BC2">
              <w:rPr>
                <w:rFonts w:ascii="Calibri" w:hAnsi="Calibri" w:cs="Calibri"/>
                <w:color w:val="auto"/>
                <w:sz w:val="16"/>
                <w:szCs w:val="16"/>
              </w:rPr>
              <w:t xml:space="preserve"> los viajes entre el Reino Unido y el Espacio Económico Europeo (EEA) en el UK ETS, cubriendo el 50% de sus emisiones</w:t>
            </w:r>
          </w:p>
          <w:p w14:paraId="17DCD271" w14:textId="77777777" w:rsidR="00F12FAE" w:rsidRDefault="00F12FAE" w:rsidP="00002BC2">
            <w:pPr>
              <w:pStyle w:val="Prrafodelista"/>
              <w:numPr>
                <w:ilvl w:val="0"/>
                <w:numId w:val="83"/>
              </w:numPr>
              <w:spacing w:after="60"/>
              <w:ind w:left="457"/>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6"/>
                <w:szCs w:val="16"/>
              </w:rPr>
            </w:pPr>
            <w:r>
              <w:rPr>
                <w:rFonts w:ascii="Calibri" w:hAnsi="Calibri" w:cs="Calibri"/>
                <w:color w:val="auto"/>
                <w:sz w:val="16"/>
                <w:szCs w:val="16"/>
              </w:rPr>
              <w:t>S</w:t>
            </w:r>
            <w:r w:rsidRPr="00002BC2">
              <w:rPr>
                <w:rFonts w:ascii="Calibri" w:hAnsi="Calibri" w:cs="Calibri"/>
                <w:color w:val="auto"/>
                <w:sz w:val="16"/>
                <w:szCs w:val="16"/>
              </w:rPr>
              <w:t>e aplicará a buques de más de 5,000 GT que realicen tráfico de cabotaje, incluyendo emisiones en fondeo, amarre y movimientos dentro de los puertos</w:t>
            </w:r>
          </w:p>
          <w:p w14:paraId="194F9906" w14:textId="0B80F6DC" w:rsidR="00F12FAE" w:rsidRDefault="00F12FAE" w:rsidP="00002BC2">
            <w:pPr>
              <w:pStyle w:val="Prrafodelista"/>
              <w:numPr>
                <w:ilvl w:val="0"/>
                <w:numId w:val="83"/>
              </w:numPr>
              <w:spacing w:after="60"/>
              <w:ind w:left="457"/>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6"/>
                <w:szCs w:val="16"/>
              </w:rPr>
            </w:pPr>
            <w:r w:rsidRPr="00002BC2">
              <w:rPr>
                <w:rFonts w:ascii="Calibri" w:hAnsi="Calibri" w:cs="Calibri"/>
                <w:color w:val="auto"/>
                <w:sz w:val="16"/>
                <w:szCs w:val="16"/>
              </w:rPr>
              <w:t>Incorporación de nuevos gases de efecto invernadero como el metano y el óxido nitroso</w:t>
            </w:r>
          </w:p>
        </w:tc>
      </w:tr>
      <w:tr w:rsidR="00F12FAE" w:rsidRPr="0089303E" w14:paraId="14886FFF" w14:textId="77777777" w:rsidTr="00435E18">
        <w:trPr>
          <w:trHeight w:val="761"/>
        </w:trPr>
        <w:tc>
          <w:tcPr>
            <w:cnfStyle w:val="001000000000" w:firstRow="0" w:lastRow="0" w:firstColumn="1" w:lastColumn="0" w:oddVBand="0" w:evenVBand="0" w:oddHBand="0" w:evenHBand="0" w:firstRowFirstColumn="0" w:firstRowLastColumn="0" w:lastRowFirstColumn="0" w:lastRowLastColumn="0"/>
            <w:tcW w:w="174" w:type="pct"/>
            <w:vMerge/>
            <w:shd w:val="clear" w:color="auto" w:fill="1D3C5A"/>
          </w:tcPr>
          <w:p w14:paraId="39806E29" w14:textId="77777777" w:rsidR="00F12FAE" w:rsidRPr="0089303E" w:rsidRDefault="00F12FAE" w:rsidP="0089303E">
            <w:pPr>
              <w:spacing w:after="60"/>
              <w:jc w:val="center"/>
              <w:rPr>
                <w:rFonts w:ascii="Calibri Light" w:hAnsi="Calibri Light" w:cs="Calibri Light"/>
                <w:color w:val="FFFFFF"/>
                <w:sz w:val="16"/>
                <w:szCs w:val="16"/>
              </w:rPr>
            </w:pPr>
          </w:p>
        </w:tc>
        <w:tc>
          <w:tcPr>
            <w:tcW w:w="652" w:type="pct"/>
            <w:shd w:val="clear" w:color="auto" w:fill="F6F9FC"/>
            <w:vAlign w:val="center"/>
          </w:tcPr>
          <w:p w14:paraId="0F0EF569" w14:textId="7E912A36" w:rsidR="00F12FAE" w:rsidRPr="00377592" w:rsidRDefault="00F12FAE" w:rsidP="0089303E">
            <w:pPr>
              <w:spacing w:after="60"/>
              <w:jc w:val="left"/>
              <w:cnfStyle w:val="000000000000" w:firstRow="0" w:lastRow="0" w:firstColumn="0" w:lastColumn="0" w:oddVBand="0" w:evenVBand="0" w:oddHBand="0" w:evenHBand="0" w:firstRowFirstColumn="0" w:firstRowLastColumn="0" w:lastRowFirstColumn="0" w:lastRowLastColumn="0"/>
              <w:rPr>
                <w:rFonts w:ascii="Calibri Light" w:hAnsi="Calibri Light" w:cs="Calibri Light"/>
                <w:b/>
                <w:bCs/>
                <w:sz w:val="18"/>
                <w:szCs w:val="18"/>
              </w:rPr>
            </w:pPr>
            <w:r w:rsidRPr="007817E4">
              <w:rPr>
                <w:rFonts w:ascii="Calibri Light" w:hAnsi="Calibri Light" w:cs="Calibri Light"/>
                <w:b/>
                <w:bCs/>
                <w:color w:val="25775E"/>
                <w:sz w:val="18"/>
                <w:szCs w:val="18"/>
              </w:rPr>
              <w:t>Directiva (UE) 2023/1791 relativa a la eficiencia energética</w:t>
            </w:r>
          </w:p>
        </w:tc>
        <w:tc>
          <w:tcPr>
            <w:tcW w:w="4174" w:type="pct"/>
            <w:gridSpan w:val="5"/>
            <w:shd w:val="clear" w:color="auto" w:fill="F6F9FC"/>
            <w:vAlign w:val="center"/>
          </w:tcPr>
          <w:p w14:paraId="242FA157" w14:textId="77777777" w:rsidR="00F12FAE" w:rsidRDefault="00F12FAE" w:rsidP="00002BC2">
            <w:pPr>
              <w:pStyle w:val="Prrafodelista"/>
              <w:numPr>
                <w:ilvl w:val="0"/>
                <w:numId w:val="76"/>
              </w:numPr>
              <w:spacing w:after="60"/>
              <w:ind w:left="463"/>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Pr>
                <w:rFonts w:ascii="Calibri" w:hAnsi="Calibri" w:cs="Calibri"/>
                <w:color w:val="auto"/>
                <w:sz w:val="16"/>
                <w:szCs w:val="16"/>
              </w:rPr>
              <w:t xml:space="preserve">Objetivo vinculante para </w:t>
            </w:r>
            <w:r w:rsidRPr="007817E4">
              <w:rPr>
                <w:rFonts w:ascii="Calibri" w:hAnsi="Calibri" w:cs="Calibri"/>
                <w:color w:val="auto"/>
                <w:sz w:val="16"/>
                <w:szCs w:val="16"/>
              </w:rPr>
              <w:t>reducir el consumo final de energía de la UE en un 11.7% para 2030</w:t>
            </w:r>
            <w:r>
              <w:rPr>
                <w:rFonts w:ascii="Calibri" w:hAnsi="Calibri" w:cs="Calibri"/>
                <w:color w:val="auto"/>
                <w:sz w:val="16"/>
                <w:szCs w:val="16"/>
              </w:rPr>
              <w:t>.</w:t>
            </w:r>
          </w:p>
          <w:p w14:paraId="1AF6D3D9" w14:textId="77777777" w:rsidR="00F12FAE" w:rsidRDefault="00F12FAE" w:rsidP="00002BC2">
            <w:pPr>
              <w:pStyle w:val="Prrafodelista"/>
              <w:numPr>
                <w:ilvl w:val="0"/>
                <w:numId w:val="76"/>
              </w:numPr>
              <w:spacing w:after="60"/>
              <w:ind w:left="463"/>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Pr>
                <w:rFonts w:ascii="Calibri" w:hAnsi="Calibri" w:cs="Calibri"/>
                <w:color w:val="auto"/>
                <w:sz w:val="16"/>
                <w:szCs w:val="16"/>
              </w:rPr>
              <w:t xml:space="preserve">Los Estados miembros deben adoptar el principio </w:t>
            </w:r>
            <w:r w:rsidRPr="007817E4">
              <w:rPr>
                <w:rFonts w:ascii="Calibri" w:hAnsi="Calibri" w:cs="Calibri"/>
                <w:color w:val="auto"/>
                <w:sz w:val="16"/>
                <w:szCs w:val="16"/>
              </w:rPr>
              <w:t>de que la eficiencia energética es prioritaria</w:t>
            </w:r>
            <w:r>
              <w:rPr>
                <w:rFonts w:ascii="Calibri" w:hAnsi="Calibri" w:cs="Calibri"/>
                <w:color w:val="auto"/>
                <w:sz w:val="16"/>
                <w:szCs w:val="16"/>
              </w:rPr>
              <w:t>.</w:t>
            </w:r>
          </w:p>
          <w:p w14:paraId="03BBE2FD" w14:textId="77777777" w:rsidR="00F12FAE" w:rsidRDefault="00F12FAE" w:rsidP="00002BC2">
            <w:pPr>
              <w:pStyle w:val="Prrafodelista"/>
              <w:numPr>
                <w:ilvl w:val="0"/>
                <w:numId w:val="76"/>
              </w:numPr>
              <w:spacing w:after="60"/>
              <w:ind w:left="463"/>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7817E4">
              <w:rPr>
                <w:rFonts w:ascii="Calibri" w:hAnsi="Calibri" w:cs="Calibri"/>
                <w:b/>
                <w:bCs/>
                <w:color w:val="C45911" w:themeColor="accent2" w:themeShade="BF"/>
                <w:sz w:val="16"/>
                <w:szCs w:val="16"/>
              </w:rPr>
              <w:t>Recomendación (UE) 2024/2002</w:t>
            </w:r>
            <w:r>
              <w:rPr>
                <w:rFonts w:ascii="Calibri" w:hAnsi="Calibri" w:cs="Calibri"/>
                <w:color w:val="auto"/>
                <w:sz w:val="16"/>
                <w:szCs w:val="16"/>
              </w:rPr>
              <w:t xml:space="preserve">: </w:t>
            </w:r>
            <w:r w:rsidRPr="007817E4">
              <w:rPr>
                <w:rFonts w:ascii="Calibri" w:hAnsi="Calibri" w:cs="Calibri"/>
                <w:color w:val="auto"/>
                <w:sz w:val="16"/>
                <w:szCs w:val="16"/>
              </w:rPr>
              <w:t>establece directrices para la interpretación del artículo 11 de esta directiva en lo que respecta a los sistemas de gestión de la energía y las auditorías energéticas</w:t>
            </w:r>
            <w:r>
              <w:rPr>
                <w:rFonts w:ascii="Calibri" w:hAnsi="Calibri" w:cs="Calibri"/>
                <w:color w:val="auto"/>
                <w:sz w:val="16"/>
                <w:szCs w:val="16"/>
              </w:rPr>
              <w:t>.</w:t>
            </w:r>
          </w:p>
          <w:p w14:paraId="694EF135" w14:textId="2C5D0D15" w:rsidR="00F12FAE" w:rsidRPr="007817E4" w:rsidRDefault="00F12FAE" w:rsidP="00002BC2">
            <w:pPr>
              <w:pStyle w:val="Prrafodelista"/>
              <w:numPr>
                <w:ilvl w:val="0"/>
                <w:numId w:val="76"/>
              </w:numPr>
              <w:spacing w:after="60"/>
              <w:ind w:left="463"/>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6"/>
                <w:szCs w:val="16"/>
              </w:rPr>
            </w:pPr>
            <w:r w:rsidRPr="007817E4">
              <w:rPr>
                <w:rFonts w:ascii="Calibri" w:hAnsi="Calibri" w:cs="Calibri"/>
                <w:b/>
                <w:bCs/>
                <w:color w:val="C45911" w:themeColor="accent2" w:themeShade="BF"/>
                <w:sz w:val="16"/>
                <w:szCs w:val="16"/>
              </w:rPr>
              <w:t>Recomendación (UE) 2024/2143</w:t>
            </w:r>
            <w:r>
              <w:rPr>
                <w:rFonts w:ascii="Calibri" w:hAnsi="Calibri" w:cs="Calibri"/>
                <w:color w:val="auto"/>
                <w:sz w:val="16"/>
                <w:szCs w:val="16"/>
              </w:rPr>
              <w:t xml:space="preserve">: establece directrices </w:t>
            </w:r>
            <w:r w:rsidRPr="007817E4">
              <w:rPr>
                <w:rFonts w:ascii="Calibri" w:hAnsi="Calibri" w:cs="Calibri"/>
                <w:color w:val="auto"/>
                <w:sz w:val="16"/>
                <w:szCs w:val="16"/>
              </w:rPr>
              <w:t>para la interpretación del artículo 3 en lo relativo al principio de «primero la eficiencia energética»</w:t>
            </w:r>
          </w:p>
        </w:tc>
      </w:tr>
      <w:tr w:rsidR="00A33448" w:rsidRPr="0089303E" w14:paraId="0F82E2C1" w14:textId="77777777" w:rsidTr="00435E18">
        <w:trPr>
          <w:cnfStyle w:val="000000100000" w:firstRow="0" w:lastRow="0" w:firstColumn="0" w:lastColumn="0" w:oddVBand="0" w:evenVBand="0" w:oddHBand="1" w:evenHBand="0" w:firstRowFirstColumn="0" w:firstRowLastColumn="0" w:lastRowFirstColumn="0" w:lastRowLastColumn="0"/>
          <w:trHeight w:val="761"/>
        </w:trPr>
        <w:tc>
          <w:tcPr>
            <w:cnfStyle w:val="001000000000" w:firstRow="0" w:lastRow="0" w:firstColumn="1" w:lastColumn="0" w:oddVBand="0" w:evenVBand="0" w:oddHBand="0" w:evenHBand="0" w:firstRowFirstColumn="0" w:firstRowLastColumn="0" w:lastRowFirstColumn="0" w:lastRowLastColumn="0"/>
            <w:tcW w:w="174" w:type="pct"/>
            <w:vMerge w:val="restart"/>
            <w:shd w:val="clear" w:color="auto" w:fill="595959" w:themeFill="text1" w:themeFillTint="A6"/>
            <w:textDirection w:val="btLr"/>
            <w:vAlign w:val="center"/>
          </w:tcPr>
          <w:p w14:paraId="6F2AD786" w14:textId="77777777" w:rsidR="00A33448" w:rsidRPr="0089303E" w:rsidRDefault="00A33448" w:rsidP="0089303E">
            <w:pPr>
              <w:spacing w:after="60"/>
              <w:ind w:left="113" w:right="113"/>
              <w:jc w:val="center"/>
              <w:rPr>
                <w:rFonts w:ascii="Calibri Light" w:hAnsi="Calibri Light" w:cs="Calibri Light"/>
                <w:color w:val="FFFFFF"/>
                <w:sz w:val="16"/>
                <w:szCs w:val="16"/>
              </w:rPr>
            </w:pPr>
            <w:r w:rsidRPr="0089303E">
              <w:rPr>
                <w:rFonts w:ascii="Calibri Light" w:hAnsi="Calibri Light" w:cs="Calibri Light"/>
                <w:color w:val="FFFFFF"/>
                <w:sz w:val="18"/>
                <w:szCs w:val="18"/>
              </w:rPr>
              <w:t>ESTATAL</w:t>
            </w:r>
          </w:p>
        </w:tc>
        <w:tc>
          <w:tcPr>
            <w:tcW w:w="652" w:type="pct"/>
            <w:shd w:val="clear" w:color="auto" w:fill="auto"/>
            <w:vAlign w:val="center"/>
          </w:tcPr>
          <w:p w14:paraId="599B1488" w14:textId="77777777" w:rsidR="00A33448" w:rsidRPr="0089303E" w:rsidRDefault="00A33448" w:rsidP="0089303E">
            <w:pPr>
              <w:spacing w:after="60"/>
              <w:jc w:val="left"/>
              <w:cnfStyle w:val="000000100000" w:firstRow="0" w:lastRow="0" w:firstColumn="0" w:lastColumn="0" w:oddVBand="0" w:evenVBand="0" w:oddHBand="1" w:evenHBand="0" w:firstRowFirstColumn="0" w:firstRowLastColumn="0" w:lastRowFirstColumn="0" w:lastRowLastColumn="0"/>
              <w:rPr>
                <w:rFonts w:ascii="Calibri Light" w:hAnsi="Calibri Light" w:cs="Calibri Light"/>
                <w:b/>
                <w:bCs/>
                <w:color w:val="000000"/>
                <w:sz w:val="18"/>
                <w:szCs w:val="18"/>
              </w:rPr>
            </w:pPr>
            <w:r w:rsidRPr="00377592">
              <w:rPr>
                <w:rFonts w:ascii="Calibri Light" w:hAnsi="Calibri Light" w:cs="Calibri Light"/>
                <w:b/>
                <w:bCs/>
                <w:sz w:val="18"/>
                <w:szCs w:val="18"/>
              </w:rPr>
              <w:t>Obligación de Cálculo de Huella de Carbono</w:t>
            </w:r>
          </w:p>
        </w:tc>
        <w:tc>
          <w:tcPr>
            <w:tcW w:w="4174" w:type="pct"/>
            <w:gridSpan w:val="5"/>
            <w:shd w:val="clear" w:color="auto" w:fill="auto"/>
            <w:vAlign w:val="center"/>
          </w:tcPr>
          <w:p w14:paraId="2D6F9221" w14:textId="77777777" w:rsidR="00A33448" w:rsidRPr="0089303E" w:rsidRDefault="00A33448" w:rsidP="0089303E">
            <w:pPr>
              <w:spacing w:after="6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rPr>
            </w:pPr>
            <w:r w:rsidRPr="0089303E">
              <w:rPr>
                <w:rFonts w:ascii="Calibri" w:hAnsi="Calibri" w:cs="Calibri"/>
                <w:color w:val="000000"/>
                <w:sz w:val="16"/>
                <w:szCs w:val="16"/>
              </w:rPr>
              <w:t xml:space="preserve">Las empresas obligadas (a falta de confirmación oficial) a calcular y publicar su huella de carbono </w:t>
            </w:r>
            <w:r w:rsidRPr="0089303E">
              <w:rPr>
                <w:rFonts w:ascii="Calibri" w:hAnsi="Calibri" w:cs="Calibri"/>
                <w:b/>
                <w:bCs/>
                <w:color w:val="000000"/>
                <w:sz w:val="16"/>
                <w:szCs w:val="16"/>
              </w:rPr>
              <w:t>a partir de 2023</w:t>
            </w:r>
            <w:r w:rsidRPr="0089303E">
              <w:rPr>
                <w:rFonts w:ascii="Calibri" w:hAnsi="Calibri" w:cs="Calibri"/>
                <w:color w:val="000000"/>
                <w:sz w:val="16"/>
                <w:szCs w:val="16"/>
              </w:rPr>
              <w:t>, serían:</w:t>
            </w:r>
          </w:p>
          <w:p w14:paraId="2C45C4F8" w14:textId="77777777" w:rsidR="00A33448" w:rsidRPr="0089303E" w:rsidRDefault="00A33448" w:rsidP="00002BC2">
            <w:pPr>
              <w:numPr>
                <w:ilvl w:val="0"/>
                <w:numId w:val="34"/>
              </w:numPr>
              <w:ind w:left="458"/>
              <w:contextualSpacing/>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rPr>
            </w:pPr>
            <w:r w:rsidRPr="0089303E">
              <w:rPr>
                <w:rFonts w:ascii="Calibri" w:hAnsi="Calibri" w:cs="Calibri"/>
                <w:color w:val="000000"/>
                <w:sz w:val="16"/>
                <w:szCs w:val="16"/>
              </w:rPr>
              <w:t>&gt;50 empleados.</w:t>
            </w:r>
          </w:p>
          <w:p w14:paraId="0BA234CA" w14:textId="77777777" w:rsidR="00A33448" w:rsidRPr="0089303E" w:rsidRDefault="00A33448" w:rsidP="00002BC2">
            <w:pPr>
              <w:numPr>
                <w:ilvl w:val="0"/>
                <w:numId w:val="34"/>
              </w:numPr>
              <w:ind w:left="458"/>
              <w:contextualSpacing/>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rPr>
            </w:pPr>
            <w:r w:rsidRPr="0089303E">
              <w:rPr>
                <w:rFonts w:ascii="Calibri" w:hAnsi="Calibri" w:cs="Calibri"/>
                <w:color w:val="000000"/>
                <w:sz w:val="16"/>
                <w:szCs w:val="16"/>
              </w:rPr>
              <w:t>Facturación &gt;10 millones €.</w:t>
            </w:r>
          </w:p>
          <w:p w14:paraId="68CFE2ED" w14:textId="77777777" w:rsidR="00A33448" w:rsidRPr="0089303E" w:rsidRDefault="00A33448" w:rsidP="00002BC2">
            <w:pPr>
              <w:numPr>
                <w:ilvl w:val="0"/>
                <w:numId w:val="34"/>
              </w:numPr>
              <w:ind w:left="458"/>
              <w:contextualSpacing/>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rPr>
            </w:pPr>
            <w:r w:rsidRPr="0089303E">
              <w:rPr>
                <w:rFonts w:ascii="Calibri" w:hAnsi="Calibri" w:cs="Calibri"/>
                <w:color w:val="000000"/>
                <w:sz w:val="16"/>
                <w:szCs w:val="16"/>
              </w:rPr>
              <w:t>Operen de forma parcial o total en Baleares.</w:t>
            </w:r>
          </w:p>
          <w:p w14:paraId="0A418B1F" w14:textId="77777777" w:rsidR="00A33448" w:rsidRPr="0089303E" w:rsidRDefault="00A33448" w:rsidP="0089303E">
            <w:pPr>
              <w:spacing w:after="6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rPr>
            </w:pPr>
            <w:r w:rsidRPr="0089303E">
              <w:rPr>
                <w:rFonts w:ascii="Calibri" w:hAnsi="Calibri" w:cs="Calibri"/>
                <w:color w:val="000000"/>
                <w:sz w:val="16"/>
                <w:szCs w:val="16"/>
              </w:rPr>
              <w:t>Pequeñas y medianas que formen parte de la cadena de valor y producción de grandes empresas.</w:t>
            </w:r>
          </w:p>
        </w:tc>
      </w:tr>
      <w:tr w:rsidR="00435E18" w:rsidRPr="0089303E" w14:paraId="5343189B" w14:textId="77777777" w:rsidTr="00435E18">
        <w:trPr>
          <w:trHeight w:val="761"/>
        </w:trPr>
        <w:tc>
          <w:tcPr>
            <w:cnfStyle w:val="001000000000" w:firstRow="0" w:lastRow="0" w:firstColumn="1" w:lastColumn="0" w:oddVBand="0" w:evenVBand="0" w:oddHBand="0" w:evenHBand="0" w:firstRowFirstColumn="0" w:firstRowLastColumn="0" w:lastRowFirstColumn="0" w:lastRowLastColumn="0"/>
            <w:tcW w:w="174" w:type="pct"/>
            <w:vMerge/>
            <w:shd w:val="clear" w:color="auto" w:fill="595959" w:themeFill="text1" w:themeFillTint="A6"/>
            <w:textDirection w:val="btLr"/>
            <w:vAlign w:val="center"/>
          </w:tcPr>
          <w:p w14:paraId="2B41CC53" w14:textId="77777777" w:rsidR="00A33448" w:rsidRPr="0089303E" w:rsidRDefault="00A33448" w:rsidP="0089303E">
            <w:pPr>
              <w:spacing w:after="60"/>
              <w:ind w:left="113" w:right="113"/>
              <w:jc w:val="center"/>
              <w:rPr>
                <w:rFonts w:ascii="Calibri Light" w:hAnsi="Calibri Light" w:cs="Calibri Light"/>
                <w:color w:val="FFFFFF"/>
                <w:sz w:val="18"/>
                <w:szCs w:val="18"/>
              </w:rPr>
            </w:pPr>
          </w:p>
        </w:tc>
        <w:tc>
          <w:tcPr>
            <w:tcW w:w="652" w:type="pct"/>
            <w:shd w:val="clear" w:color="auto" w:fill="F2F2F2" w:themeFill="background1" w:themeFillShade="F2"/>
            <w:vAlign w:val="center"/>
          </w:tcPr>
          <w:p w14:paraId="16484733" w14:textId="77777777" w:rsidR="00A33448" w:rsidRPr="0089303E" w:rsidRDefault="00A33448" w:rsidP="0089303E">
            <w:pPr>
              <w:spacing w:after="60"/>
              <w:jc w:val="left"/>
              <w:cnfStyle w:val="000000000000" w:firstRow="0" w:lastRow="0" w:firstColumn="0" w:lastColumn="0" w:oddVBand="0" w:evenVBand="0" w:oddHBand="0" w:evenHBand="0" w:firstRowFirstColumn="0" w:firstRowLastColumn="0" w:lastRowFirstColumn="0" w:lastRowLastColumn="0"/>
              <w:rPr>
                <w:rFonts w:ascii="Calibri Light" w:hAnsi="Calibri Light" w:cs="Calibri Light"/>
                <w:b/>
                <w:bCs/>
                <w:color w:val="C45911"/>
                <w:sz w:val="18"/>
                <w:szCs w:val="18"/>
              </w:rPr>
            </w:pPr>
            <w:r w:rsidRPr="00377592">
              <w:rPr>
                <w:rFonts w:ascii="Calibri Light" w:hAnsi="Calibri Light" w:cs="Calibri Light"/>
                <w:b/>
                <w:bCs/>
                <w:sz w:val="18"/>
                <w:szCs w:val="18"/>
              </w:rPr>
              <w:t>RD 1052/2022 sobre ZBE</w:t>
            </w:r>
          </w:p>
        </w:tc>
        <w:tc>
          <w:tcPr>
            <w:tcW w:w="869" w:type="pct"/>
            <w:shd w:val="clear" w:color="auto" w:fill="F2F2F2" w:themeFill="background1" w:themeFillShade="F2"/>
            <w:vAlign w:val="center"/>
          </w:tcPr>
          <w:p w14:paraId="6DE02819" w14:textId="77777777" w:rsidR="00A33448" w:rsidRPr="0089303E" w:rsidRDefault="00A33448" w:rsidP="0089303E">
            <w:pPr>
              <w:spacing w:after="60"/>
              <w:jc w:val="left"/>
              <w:cnfStyle w:val="000000000000" w:firstRow="0" w:lastRow="0" w:firstColumn="0" w:lastColumn="0" w:oddVBand="0" w:evenVBand="0" w:oddHBand="0" w:evenHBand="0" w:firstRowFirstColumn="0" w:firstRowLastColumn="0" w:lastRowFirstColumn="0" w:lastRowLastColumn="0"/>
              <w:rPr>
                <w:rFonts w:ascii="Calibri" w:hAnsi="Calibri" w:cs="Calibri"/>
                <w:b/>
                <w:bCs/>
                <w:color w:val="000000"/>
                <w:sz w:val="16"/>
                <w:szCs w:val="16"/>
              </w:rPr>
            </w:pPr>
          </w:p>
        </w:tc>
        <w:tc>
          <w:tcPr>
            <w:tcW w:w="740" w:type="pct"/>
            <w:shd w:val="clear" w:color="auto" w:fill="F2F2F2" w:themeFill="background1" w:themeFillShade="F2"/>
            <w:vAlign w:val="center"/>
          </w:tcPr>
          <w:p w14:paraId="4B6F263E" w14:textId="77777777" w:rsidR="00A33448" w:rsidRPr="0089303E" w:rsidRDefault="00A33448" w:rsidP="0089303E">
            <w:pPr>
              <w:spacing w:after="6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rPr>
            </w:pPr>
          </w:p>
        </w:tc>
        <w:tc>
          <w:tcPr>
            <w:tcW w:w="870" w:type="pct"/>
            <w:shd w:val="clear" w:color="auto" w:fill="F2F2F2" w:themeFill="background1" w:themeFillShade="F2"/>
            <w:vAlign w:val="center"/>
          </w:tcPr>
          <w:p w14:paraId="021AE661" w14:textId="77777777" w:rsidR="00A33448" w:rsidRPr="0089303E" w:rsidRDefault="00A33448" w:rsidP="0089303E">
            <w:pPr>
              <w:spacing w:after="6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rPr>
            </w:pPr>
          </w:p>
        </w:tc>
        <w:tc>
          <w:tcPr>
            <w:tcW w:w="826" w:type="pct"/>
            <w:shd w:val="clear" w:color="auto" w:fill="F2F2F2" w:themeFill="background1" w:themeFillShade="F2"/>
            <w:vAlign w:val="center"/>
          </w:tcPr>
          <w:p w14:paraId="5D04C026" w14:textId="77777777" w:rsidR="00A33448" w:rsidRPr="0089303E" w:rsidRDefault="00A33448" w:rsidP="00002BC2">
            <w:pPr>
              <w:numPr>
                <w:ilvl w:val="0"/>
                <w:numId w:val="67"/>
              </w:numPr>
              <w:spacing w:after="60"/>
              <w:ind w:left="466"/>
              <w:contextualSpacing/>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rPr>
            </w:pPr>
            <w:r w:rsidRPr="0089303E">
              <w:rPr>
                <w:rFonts w:ascii="Calibri" w:hAnsi="Calibri" w:cs="Calibri"/>
                <w:color w:val="000000"/>
                <w:sz w:val="16"/>
                <w:szCs w:val="16"/>
              </w:rPr>
              <w:t xml:space="preserve">El proyecto de ZBE deberá incluir medidas encaminadas a impulsar el cambio modal </w:t>
            </w:r>
            <w:r w:rsidRPr="0089303E">
              <w:rPr>
                <w:rFonts w:ascii="Calibri" w:hAnsi="Calibri" w:cs="Calibri"/>
                <w:color w:val="000000"/>
                <w:sz w:val="16"/>
                <w:szCs w:val="16"/>
              </w:rPr>
              <w:lastRenderedPageBreak/>
              <w:t>hacia medios de transporte más sostenibles, priorizando la movilidad activa y el transporte público</w:t>
            </w:r>
          </w:p>
          <w:p w14:paraId="1A4C5264" w14:textId="77777777" w:rsidR="00A33448" w:rsidRPr="0089303E" w:rsidRDefault="00A33448" w:rsidP="00002BC2">
            <w:pPr>
              <w:numPr>
                <w:ilvl w:val="0"/>
                <w:numId w:val="67"/>
              </w:numPr>
              <w:spacing w:after="60"/>
              <w:ind w:left="466"/>
              <w:contextualSpacing/>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rPr>
            </w:pPr>
            <w:r w:rsidRPr="0089303E">
              <w:rPr>
                <w:rFonts w:ascii="Calibri" w:hAnsi="Calibri" w:cs="Calibri"/>
                <w:color w:val="000000"/>
                <w:sz w:val="16"/>
                <w:szCs w:val="16"/>
              </w:rPr>
              <w:t xml:space="preserve">Las Administraciones públicas deberán establecer los objetivos de reducción de emisiones de las ZBE </w:t>
            </w:r>
            <w:r w:rsidRPr="0089303E">
              <w:rPr>
                <w:rFonts w:ascii="Calibri" w:hAnsi="Calibri" w:cs="Calibri"/>
                <w:b/>
                <w:bCs/>
                <w:color w:val="000000"/>
                <w:sz w:val="16"/>
                <w:szCs w:val="16"/>
              </w:rPr>
              <w:t>antes del 2030</w:t>
            </w:r>
            <w:r w:rsidRPr="0089303E">
              <w:rPr>
                <w:rFonts w:ascii="Calibri" w:hAnsi="Calibri" w:cs="Calibri"/>
                <w:color w:val="000000"/>
                <w:sz w:val="16"/>
                <w:szCs w:val="16"/>
              </w:rPr>
              <w:t>.</w:t>
            </w:r>
          </w:p>
          <w:p w14:paraId="7D0195F9" w14:textId="77777777" w:rsidR="00A33448" w:rsidRPr="0089303E" w:rsidRDefault="00A33448" w:rsidP="00002BC2">
            <w:pPr>
              <w:numPr>
                <w:ilvl w:val="0"/>
                <w:numId w:val="67"/>
              </w:numPr>
              <w:spacing w:after="60"/>
              <w:ind w:left="466"/>
              <w:contextualSpacing/>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rPr>
            </w:pPr>
            <w:r w:rsidRPr="0089303E">
              <w:rPr>
                <w:rFonts w:ascii="Calibri" w:hAnsi="Calibri" w:cs="Calibri"/>
                <w:color w:val="000000"/>
                <w:sz w:val="16"/>
                <w:szCs w:val="16"/>
              </w:rPr>
              <w:t>Respecto al transporte urbano de mercancías, as entidades locales velarán por potenciar los vehículos cero emisiones, la «</w:t>
            </w:r>
            <w:proofErr w:type="spellStart"/>
            <w:r w:rsidRPr="0089303E">
              <w:rPr>
                <w:rFonts w:ascii="Calibri" w:hAnsi="Calibri" w:cs="Calibri"/>
                <w:color w:val="000000"/>
                <w:sz w:val="16"/>
                <w:szCs w:val="16"/>
              </w:rPr>
              <w:t>ciclologística</w:t>
            </w:r>
            <w:proofErr w:type="spellEnd"/>
            <w:r w:rsidRPr="0089303E">
              <w:rPr>
                <w:rFonts w:ascii="Calibri" w:hAnsi="Calibri" w:cs="Calibri"/>
                <w:color w:val="000000"/>
                <w:sz w:val="16"/>
                <w:szCs w:val="16"/>
              </w:rPr>
              <w:t>» y las soluciones de optimización ambiental de los repartos, con el fin de garantizar que dicha actividad es cero emisiones.</w:t>
            </w:r>
          </w:p>
          <w:p w14:paraId="40E374E2" w14:textId="77777777" w:rsidR="00A33448" w:rsidRPr="0089303E" w:rsidRDefault="00A33448" w:rsidP="00002BC2">
            <w:pPr>
              <w:numPr>
                <w:ilvl w:val="0"/>
                <w:numId w:val="67"/>
              </w:numPr>
              <w:spacing w:after="60"/>
              <w:ind w:left="466"/>
              <w:contextualSpacing/>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rPr>
            </w:pPr>
            <w:r w:rsidRPr="0089303E">
              <w:rPr>
                <w:rFonts w:ascii="Calibri" w:hAnsi="Calibri" w:cs="Calibri"/>
                <w:color w:val="000000"/>
                <w:sz w:val="16"/>
                <w:szCs w:val="16"/>
              </w:rPr>
              <w:t>Únicamente, y en casos debidamente justificados, se podrán establecer excepciones a las restricciones de las ZBE.</w:t>
            </w:r>
          </w:p>
        </w:tc>
        <w:tc>
          <w:tcPr>
            <w:tcW w:w="869" w:type="pct"/>
            <w:shd w:val="clear" w:color="auto" w:fill="F2F2F2" w:themeFill="background1" w:themeFillShade="F2"/>
            <w:vAlign w:val="center"/>
          </w:tcPr>
          <w:p w14:paraId="7107CCA7" w14:textId="77777777" w:rsidR="00A33448" w:rsidRPr="0089303E" w:rsidRDefault="00A33448" w:rsidP="0089303E">
            <w:pPr>
              <w:spacing w:after="6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rPr>
            </w:pPr>
          </w:p>
        </w:tc>
      </w:tr>
      <w:tr w:rsidR="00A33448" w:rsidRPr="0089303E" w14:paraId="1197F6D6" w14:textId="77777777" w:rsidTr="00435E18">
        <w:trPr>
          <w:cnfStyle w:val="000000100000" w:firstRow="0" w:lastRow="0" w:firstColumn="0" w:lastColumn="0" w:oddVBand="0" w:evenVBand="0" w:oddHBand="1" w:evenHBand="0" w:firstRowFirstColumn="0" w:firstRowLastColumn="0" w:lastRowFirstColumn="0" w:lastRowLastColumn="0"/>
          <w:trHeight w:val="761"/>
        </w:trPr>
        <w:tc>
          <w:tcPr>
            <w:cnfStyle w:val="001000000000" w:firstRow="0" w:lastRow="0" w:firstColumn="1" w:lastColumn="0" w:oddVBand="0" w:evenVBand="0" w:oddHBand="0" w:evenHBand="0" w:firstRowFirstColumn="0" w:firstRowLastColumn="0" w:lastRowFirstColumn="0" w:lastRowLastColumn="0"/>
            <w:tcW w:w="174" w:type="pct"/>
            <w:vMerge/>
            <w:shd w:val="clear" w:color="auto" w:fill="595959" w:themeFill="text1" w:themeFillTint="A6"/>
            <w:textDirection w:val="btLr"/>
            <w:vAlign w:val="center"/>
          </w:tcPr>
          <w:p w14:paraId="5013C88D" w14:textId="77777777" w:rsidR="00A33448" w:rsidRPr="0089303E" w:rsidRDefault="00A33448" w:rsidP="0089303E">
            <w:pPr>
              <w:spacing w:after="60"/>
              <w:ind w:left="113" w:right="113"/>
              <w:jc w:val="center"/>
              <w:rPr>
                <w:rFonts w:ascii="Calibri Light" w:hAnsi="Calibri Light" w:cs="Calibri Light"/>
                <w:color w:val="FFFFFF"/>
                <w:sz w:val="18"/>
                <w:szCs w:val="18"/>
              </w:rPr>
            </w:pPr>
          </w:p>
        </w:tc>
        <w:tc>
          <w:tcPr>
            <w:tcW w:w="652" w:type="pct"/>
            <w:shd w:val="clear" w:color="auto" w:fill="auto"/>
            <w:vAlign w:val="center"/>
          </w:tcPr>
          <w:p w14:paraId="2201A5B0" w14:textId="77777777" w:rsidR="00A33448" w:rsidRPr="0089303E" w:rsidRDefault="00A33448" w:rsidP="0089303E">
            <w:pPr>
              <w:spacing w:after="60"/>
              <w:jc w:val="left"/>
              <w:cnfStyle w:val="000000100000" w:firstRow="0" w:lastRow="0" w:firstColumn="0" w:lastColumn="0" w:oddVBand="0" w:evenVBand="0" w:oddHBand="1" w:evenHBand="0" w:firstRowFirstColumn="0" w:firstRowLastColumn="0" w:lastRowFirstColumn="0" w:lastRowLastColumn="0"/>
              <w:rPr>
                <w:rFonts w:ascii="Calibri Light" w:hAnsi="Calibri Light" w:cs="Calibri Light"/>
                <w:b/>
                <w:bCs/>
                <w:color w:val="538135"/>
                <w:sz w:val="18"/>
                <w:szCs w:val="18"/>
              </w:rPr>
            </w:pPr>
            <w:r w:rsidRPr="00377592">
              <w:rPr>
                <w:rFonts w:ascii="Calibri Light" w:hAnsi="Calibri Light" w:cs="Calibri Light"/>
                <w:b/>
                <w:bCs/>
                <w:sz w:val="18"/>
                <w:szCs w:val="18"/>
              </w:rPr>
              <w:t>Marco Estratégico del Sistema Portuario de Interés General</w:t>
            </w:r>
          </w:p>
        </w:tc>
        <w:tc>
          <w:tcPr>
            <w:tcW w:w="869" w:type="pct"/>
            <w:shd w:val="clear" w:color="auto" w:fill="auto"/>
            <w:vAlign w:val="center"/>
          </w:tcPr>
          <w:p w14:paraId="343E09F5" w14:textId="77777777" w:rsidR="00A33448" w:rsidRPr="0089303E" w:rsidRDefault="00A33448" w:rsidP="0089303E">
            <w:pPr>
              <w:spacing w:after="60"/>
              <w:jc w:val="left"/>
              <w:cnfStyle w:val="000000100000" w:firstRow="0" w:lastRow="0" w:firstColumn="0" w:lastColumn="0" w:oddVBand="0" w:evenVBand="0" w:oddHBand="1" w:evenHBand="0" w:firstRowFirstColumn="0" w:firstRowLastColumn="0" w:lastRowFirstColumn="0" w:lastRowLastColumn="0"/>
              <w:rPr>
                <w:rFonts w:ascii="Calibri" w:hAnsi="Calibri" w:cs="Calibri"/>
                <w:b/>
                <w:bCs/>
                <w:color w:val="000000"/>
                <w:sz w:val="16"/>
                <w:szCs w:val="16"/>
              </w:rPr>
            </w:pPr>
            <w:r w:rsidRPr="0089303E">
              <w:rPr>
                <w:rFonts w:ascii="Calibri" w:hAnsi="Calibri" w:cs="Calibri"/>
                <w:b/>
                <w:bCs/>
                <w:color w:val="000000"/>
                <w:sz w:val="16"/>
                <w:szCs w:val="16"/>
              </w:rPr>
              <w:t>Puertos ambientalmente sostenibles. A 2030:</w:t>
            </w:r>
          </w:p>
          <w:p w14:paraId="4B10DE9C" w14:textId="77777777" w:rsidR="00A33448" w:rsidRPr="0089303E" w:rsidRDefault="00A33448" w:rsidP="00002BC2">
            <w:pPr>
              <w:numPr>
                <w:ilvl w:val="0"/>
                <w:numId w:val="45"/>
              </w:numPr>
              <w:spacing w:after="60"/>
              <w:ind w:left="465"/>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rPr>
            </w:pPr>
            <w:r w:rsidRPr="0089303E">
              <w:rPr>
                <w:rFonts w:ascii="Calibri" w:hAnsi="Calibri" w:cs="Calibri"/>
                <w:color w:val="000000"/>
                <w:sz w:val="16"/>
                <w:szCs w:val="16"/>
              </w:rPr>
              <w:t>100% de autoridades portuarias y principales operadores portuarios con ISO 14001.</w:t>
            </w:r>
          </w:p>
          <w:p w14:paraId="6138E202" w14:textId="77777777" w:rsidR="00A33448" w:rsidRPr="0089303E" w:rsidRDefault="00A33448" w:rsidP="00002BC2">
            <w:pPr>
              <w:numPr>
                <w:ilvl w:val="0"/>
                <w:numId w:val="45"/>
              </w:numPr>
              <w:spacing w:after="60"/>
              <w:ind w:left="465"/>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rPr>
            </w:pPr>
            <w:r w:rsidRPr="0089303E">
              <w:rPr>
                <w:rFonts w:ascii="Calibri" w:hAnsi="Calibri" w:cs="Calibri"/>
                <w:color w:val="000000"/>
                <w:sz w:val="16"/>
                <w:szCs w:val="16"/>
              </w:rPr>
              <w:t>50% de autoridades portuarias certificadas con EMAS.</w:t>
            </w:r>
          </w:p>
          <w:p w14:paraId="5E4350AC" w14:textId="77777777" w:rsidR="00A33448" w:rsidRPr="0089303E" w:rsidRDefault="00A33448" w:rsidP="00002BC2">
            <w:pPr>
              <w:numPr>
                <w:ilvl w:val="0"/>
                <w:numId w:val="45"/>
              </w:numPr>
              <w:spacing w:after="60"/>
              <w:ind w:left="465"/>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rPr>
            </w:pPr>
            <w:r w:rsidRPr="0089303E">
              <w:rPr>
                <w:rFonts w:ascii="Calibri" w:hAnsi="Calibri" w:cs="Calibri"/>
                <w:color w:val="000000"/>
                <w:sz w:val="16"/>
                <w:szCs w:val="16"/>
              </w:rPr>
              <w:t>100% de autoridades portuarias con cumplimiento acreditado debida diligencia ambiental.</w:t>
            </w:r>
          </w:p>
          <w:p w14:paraId="577AD08B" w14:textId="77777777" w:rsidR="00A33448" w:rsidRPr="0089303E" w:rsidRDefault="00A33448" w:rsidP="00002BC2">
            <w:pPr>
              <w:numPr>
                <w:ilvl w:val="0"/>
                <w:numId w:val="45"/>
              </w:numPr>
              <w:spacing w:after="60"/>
              <w:ind w:left="465"/>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rPr>
            </w:pPr>
            <w:r w:rsidRPr="0089303E">
              <w:rPr>
                <w:rFonts w:ascii="Calibri" w:hAnsi="Calibri" w:cs="Calibri"/>
                <w:color w:val="000000"/>
                <w:sz w:val="16"/>
                <w:szCs w:val="16"/>
              </w:rPr>
              <w:t>Cero no conformidades o superación de umbrales de calidad del aire, agua y suelo.</w:t>
            </w:r>
          </w:p>
          <w:p w14:paraId="1D9F3A37" w14:textId="77777777" w:rsidR="00A33448" w:rsidRPr="0089303E" w:rsidRDefault="00A33448" w:rsidP="00002BC2">
            <w:pPr>
              <w:numPr>
                <w:ilvl w:val="0"/>
                <w:numId w:val="45"/>
              </w:numPr>
              <w:spacing w:after="60"/>
              <w:ind w:left="465"/>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rPr>
            </w:pPr>
            <w:r w:rsidRPr="0089303E">
              <w:rPr>
                <w:rFonts w:ascii="Calibri" w:hAnsi="Calibri" w:cs="Calibri"/>
                <w:color w:val="000000"/>
                <w:sz w:val="16"/>
                <w:szCs w:val="16"/>
              </w:rPr>
              <w:t>100% de residuos generados con recogida separada.</w:t>
            </w:r>
          </w:p>
          <w:p w14:paraId="00892208" w14:textId="77777777" w:rsidR="00A33448" w:rsidRPr="0089303E" w:rsidRDefault="00A33448" w:rsidP="00002BC2">
            <w:pPr>
              <w:numPr>
                <w:ilvl w:val="0"/>
                <w:numId w:val="45"/>
              </w:numPr>
              <w:spacing w:after="60"/>
              <w:ind w:left="465"/>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rPr>
            </w:pPr>
            <w:r w:rsidRPr="0089303E">
              <w:rPr>
                <w:rFonts w:ascii="Calibri" w:hAnsi="Calibri" w:cs="Calibri"/>
                <w:color w:val="000000"/>
                <w:sz w:val="16"/>
                <w:szCs w:val="16"/>
              </w:rPr>
              <w:t>30% de reducción de consumos de agua y energía, con respecto a 2019.</w:t>
            </w:r>
          </w:p>
          <w:p w14:paraId="27EB3C6A" w14:textId="77777777" w:rsidR="00A33448" w:rsidRPr="0089303E" w:rsidRDefault="00A33448" w:rsidP="00002BC2">
            <w:pPr>
              <w:numPr>
                <w:ilvl w:val="0"/>
                <w:numId w:val="45"/>
              </w:numPr>
              <w:spacing w:after="60"/>
              <w:ind w:left="465"/>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rPr>
            </w:pPr>
            <w:r w:rsidRPr="0089303E">
              <w:rPr>
                <w:rFonts w:ascii="Calibri" w:hAnsi="Calibri" w:cs="Calibri"/>
                <w:color w:val="000000"/>
                <w:sz w:val="16"/>
                <w:szCs w:val="16"/>
              </w:rPr>
              <w:t xml:space="preserve">100% de puertos que han caracterizado su entorno natural </w:t>
            </w:r>
            <w:r w:rsidRPr="0089303E">
              <w:rPr>
                <w:rFonts w:ascii="Calibri" w:hAnsi="Calibri" w:cs="Calibri"/>
                <w:color w:val="000000"/>
                <w:sz w:val="16"/>
                <w:szCs w:val="16"/>
              </w:rPr>
              <w:lastRenderedPageBreak/>
              <w:t>y lo integran en la planificación, desarrollo y explotación portuaria.</w:t>
            </w:r>
          </w:p>
          <w:p w14:paraId="06796822" w14:textId="77777777" w:rsidR="00A33448" w:rsidRPr="0089303E" w:rsidRDefault="00A33448" w:rsidP="0089303E">
            <w:pPr>
              <w:spacing w:after="60"/>
              <w:jc w:val="left"/>
              <w:cnfStyle w:val="000000100000" w:firstRow="0" w:lastRow="0" w:firstColumn="0" w:lastColumn="0" w:oddVBand="0" w:evenVBand="0" w:oddHBand="1" w:evenHBand="0" w:firstRowFirstColumn="0" w:firstRowLastColumn="0" w:lastRowFirstColumn="0" w:lastRowLastColumn="0"/>
              <w:rPr>
                <w:rFonts w:ascii="Calibri" w:hAnsi="Calibri" w:cs="Calibri"/>
                <w:b/>
                <w:bCs/>
                <w:color w:val="000000"/>
                <w:sz w:val="16"/>
                <w:szCs w:val="16"/>
              </w:rPr>
            </w:pPr>
            <w:r w:rsidRPr="0089303E">
              <w:rPr>
                <w:rFonts w:ascii="Calibri" w:hAnsi="Calibri" w:cs="Calibri"/>
                <w:b/>
                <w:bCs/>
                <w:color w:val="000000"/>
                <w:sz w:val="16"/>
                <w:szCs w:val="16"/>
              </w:rPr>
              <w:t>Puertos eco-proactivos. A 2030:</w:t>
            </w:r>
          </w:p>
          <w:p w14:paraId="7A9C931D" w14:textId="77777777" w:rsidR="00A33448" w:rsidRPr="0089303E" w:rsidRDefault="00A33448" w:rsidP="00002BC2">
            <w:pPr>
              <w:numPr>
                <w:ilvl w:val="0"/>
                <w:numId w:val="46"/>
              </w:numPr>
              <w:spacing w:after="60"/>
              <w:ind w:left="465"/>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rPr>
            </w:pPr>
            <w:r w:rsidRPr="0089303E">
              <w:rPr>
                <w:rFonts w:ascii="Calibri" w:hAnsi="Calibri" w:cs="Calibri"/>
                <w:color w:val="000000"/>
                <w:sz w:val="16"/>
                <w:szCs w:val="16"/>
              </w:rPr>
              <w:t>100% de las autoridades portuarias con concurrencia de buques, camiones y trenes con excelencia acreditada en su desempeño ambiental.</w:t>
            </w:r>
          </w:p>
          <w:p w14:paraId="63C4AEEA" w14:textId="77777777" w:rsidR="00A33448" w:rsidRPr="0089303E" w:rsidRDefault="00A33448" w:rsidP="00002BC2">
            <w:pPr>
              <w:numPr>
                <w:ilvl w:val="0"/>
                <w:numId w:val="46"/>
              </w:numPr>
              <w:spacing w:after="60"/>
              <w:ind w:left="465"/>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rPr>
            </w:pPr>
            <w:r w:rsidRPr="0089303E">
              <w:rPr>
                <w:rFonts w:ascii="Calibri" w:hAnsi="Calibri" w:cs="Calibri"/>
                <w:color w:val="000000"/>
                <w:sz w:val="16"/>
                <w:szCs w:val="16"/>
              </w:rPr>
              <w:t>50% de reducción de costes externos unitarios del transporte concurrente en puerto con respecto a 2019.</w:t>
            </w:r>
          </w:p>
          <w:p w14:paraId="0B77347B" w14:textId="77777777" w:rsidR="00A33448" w:rsidRPr="0089303E" w:rsidRDefault="00A33448" w:rsidP="00002BC2">
            <w:pPr>
              <w:numPr>
                <w:ilvl w:val="0"/>
                <w:numId w:val="46"/>
              </w:numPr>
              <w:spacing w:after="60"/>
              <w:ind w:left="465"/>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rPr>
            </w:pPr>
            <w:r w:rsidRPr="0089303E">
              <w:rPr>
                <w:rFonts w:ascii="Calibri" w:hAnsi="Calibri" w:cs="Calibri"/>
                <w:color w:val="000000"/>
                <w:sz w:val="16"/>
                <w:szCs w:val="16"/>
              </w:rPr>
              <w:t>50% de energía consumida en el puerto procedente de autogeneración renovable o de combustibles alternativos neutros en carbono.</w:t>
            </w:r>
          </w:p>
          <w:p w14:paraId="7725149E" w14:textId="77777777" w:rsidR="00A33448" w:rsidRPr="0089303E" w:rsidRDefault="00A33448" w:rsidP="00002BC2">
            <w:pPr>
              <w:numPr>
                <w:ilvl w:val="0"/>
                <w:numId w:val="46"/>
              </w:numPr>
              <w:spacing w:after="60"/>
              <w:ind w:left="465"/>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rPr>
            </w:pPr>
            <w:r w:rsidRPr="0089303E">
              <w:rPr>
                <w:rFonts w:ascii="Calibri" w:hAnsi="Calibri" w:cs="Calibri"/>
                <w:color w:val="000000"/>
                <w:sz w:val="16"/>
                <w:szCs w:val="16"/>
              </w:rPr>
              <w:t>70% de reducción de la huella de CO2 de las Autoridades Portuarias, con respecto a 2019.</w:t>
            </w:r>
          </w:p>
          <w:p w14:paraId="6494EB9B" w14:textId="77777777" w:rsidR="00A33448" w:rsidRPr="0089303E" w:rsidRDefault="00A33448" w:rsidP="00002BC2">
            <w:pPr>
              <w:numPr>
                <w:ilvl w:val="0"/>
                <w:numId w:val="46"/>
              </w:numPr>
              <w:spacing w:after="60"/>
              <w:ind w:left="465"/>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rPr>
            </w:pPr>
            <w:r w:rsidRPr="0089303E">
              <w:rPr>
                <w:rFonts w:ascii="Calibri" w:hAnsi="Calibri" w:cs="Calibri"/>
                <w:color w:val="000000"/>
                <w:sz w:val="16"/>
                <w:szCs w:val="16"/>
              </w:rPr>
              <w:t>50% de reducción de la huella de CO2 de los puertos, con respecto a 2019.</w:t>
            </w:r>
          </w:p>
          <w:p w14:paraId="401F7D0A" w14:textId="77777777" w:rsidR="00A33448" w:rsidRPr="0089303E" w:rsidRDefault="00A33448" w:rsidP="00002BC2">
            <w:pPr>
              <w:numPr>
                <w:ilvl w:val="0"/>
                <w:numId w:val="46"/>
              </w:numPr>
              <w:spacing w:after="60"/>
              <w:ind w:left="465"/>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rPr>
            </w:pPr>
            <w:r w:rsidRPr="0089303E">
              <w:rPr>
                <w:rFonts w:ascii="Calibri" w:hAnsi="Calibri" w:cs="Calibri"/>
                <w:color w:val="000000"/>
                <w:sz w:val="16"/>
                <w:szCs w:val="16"/>
              </w:rPr>
              <w:t>100% de puertos adaptados al cambio climático (con plan en ejecución).</w:t>
            </w:r>
          </w:p>
        </w:tc>
        <w:tc>
          <w:tcPr>
            <w:tcW w:w="740" w:type="pct"/>
            <w:shd w:val="clear" w:color="auto" w:fill="FFFFFF"/>
            <w:vAlign w:val="center"/>
          </w:tcPr>
          <w:p w14:paraId="130CB969" w14:textId="77777777" w:rsidR="00A33448" w:rsidRPr="0089303E" w:rsidRDefault="00A33448" w:rsidP="0089303E">
            <w:pPr>
              <w:spacing w:after="6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rPr>
            </w:pPr>
          </w:p>
        </w:tc>
        <w:tc>
          <w:tcPr>
            <w:tcW w:w="870" w:type="pct"/>
            <w:shd w:val="clear" w:color="auto" w:fill="FFFFFF"/>
            <w:vAlign w:val="center"/>
          </w:tcPr>
          <w:p w14:paraId="6A319D46" w14:textId="77777777" w:rsidR="00A33448" w:rsidRPr="0089303E" w:rsidRDefault="00A33448" w:rsidP="0089303E">
            <w:pPr>
              <w:spacing w:after="6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rPr>
            </w:pPr>
          </w:p>
        </w:tc>
        <w:tc>
          <w:tcPr>
            <w:tcW w:w="826" w:type="pct"/>
            <w:shd w:val="clear" w:color="auto" w:fill="FFFFFF"/>
            <w:vAlign w:val="center"/>
          </w:tcPr>
          <w:p w14:paraId="0C6B861C" w14:textId="77777777" w:rsidR="00A33448" w:rsidRPr="0089303E" w:rsidRDefault="00A33448" w:rsidP="0089303E">
            <w:pPr>
              <w:spacing w:after="6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rPr>
            </w:pPr>
          </w:p>
        </w:tc>
        <w:tc>
          <w:tcPr>
            <w:tcW w:w="869" w:type="pct"/>
            <w:shd w:val="clear" w:color="auto" w:fill="FFFFFF"/>
            <w:vAlign w:val="center"/>
          </w:tcPr>
          <w:p w14:paraId="1404A76F" w14:textId="77777777" w:rsidR="00A33448" w:rsidRPr="0089303E" w:rsidRDefault="00A33448" w:rsidP="0089303E">
            <w:pPr>
              <w:spacing w:after="6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rPr>
            </w:pPr>
          </w:p>
        </w:tc>
      </w:tr>
      <w:tr w:rsidR="00A33448" w:rsidRPr="0089303E" w14:paraId="67F21F1B" w14:textId="77777777" w:rsidTr="00435E18">
        <w:trPr>
          <w:trHeight w:val="761"/>
        </w:trPr>
        <w:tc>
          <w:tcPr>
            <w:cnfStyle w:val="001000000000" w:firstRow="0" w:lastRow="0" w:firstColumn="1" w:lastColumn="0" w:oddVBand="0" w:evenVBand="0" w:oddHBand="0" w:evenHBand="0" w:firstRowFirstColumn="0" w:firstRowLastColumn="0" w:lastRowFirstColumn="0" w:lastRowLastColumn="0"/>
            <w:tcW w:w="174" w:type="pct"/>
            <w:vMerge/>
            <w:shd w:val="clear" w:color="auto" w:fill="595959" w:themeFill="text1" w:themeFillTint="A6"/>
            <w:textDirection w:val="btLr"/>
            <w:vAlign w:val="center"/>
          </w:tcPr>
          <w:p w14:paraId="5F2051FF" w14:textId="77777777" w:rsidR="00A33448" w:rsidRPr="0089303E" w:rsidRDefault="00A33448" w:rsidP="0089303E">
            <w:pPr>
              <w:spacing w:after="60"/>
              <w:ind w:left="113" w:right="113"/>
              <w:jc w:val="center"/>
              <w:rPr>
                <w:rFonts w:ascii="Calibri Light" w:hAnsi="Calibri Light" w:cs="Calibri Light"/>
                <w:color w:val="FFFFFF"/>
                <w:sz w:val="18"/>
                <w:szCs w:val="18"/>
              </w:rPr>
            </w:pPr>
          </w:p>
        </w:tc>
        <w:tc>
          <w:tcPr>
            <w:tcW w:w="652" w:type="pct"/>
            <w:shd w:val="clear" w:color="auto" w:fill="F2F2F2" w:themeFill="background1" w:themeFillShade="F2"/>
            <w:vAlign w:val="center"/>
          </w:tcPr>
          <w:p w14:paraId="75F69659" w14:textId="2F4FC261" w:rsidR="00A33448" w:rsidRPr="00377592" w:rsidRDefault="00A33448" w:rsidP="0089303E">
            <w:pPr>
              <w:spacing w:after="60"/>
              <w:jc w:val="left"/>
              <w:cnfStyle w:val="000000000000" w:firstRow="0" w:lastRow="0" w:firstColumn="0" w:lastColumn="0" w:oddVBand="0" w:evenVBand="0" w:oddHBand="0" w:evenHBand="0" w:firstRowFirstColumn="0" w:firstRowLastColumn="0" w:lastRowFirstColumn="0" w:lastRowLastColumn="0"/>
              <w:rPr>
                <w:rFonts w:ascii="Calibri Light" w:hAnsi="Calibri Light" w:cs="Calibri Light"/>
                <w:b/>
                <w:bCs/>
                <w:sz w:val="18"/>
                <w:szCs w:val="18"/>
              </w:rPr>
            </w:pPr>
            <w:r w:rsidRPr="0028574C">
              <w:rPr>
                <w:rFonts w:ascii="Calibri Light" w:hAnsi="Calibri Light" w:cs="Calibri Light"/>
                <w:b/>
                <w:bCs/>
                <w:color w:val="25775E"/>
                <w:sz w:val="18"/>
                <w:szCs w:val="18"/>
              </w:rPr>
              <w:t>Orden TED/728/2024</w:t>
            </w:r>
          </w:p>
        </w:tc>
        <w:tc>
          <w:tcPr>
            <w:tcW w:w="869" w:type="pct"/>
            <w:shd w:val="clear" w:color="auto" w:fill="F2F2F2" w:themeFill="background1" w:themeFillShade="F2"/>
            <w:vAlign w:val="center"/>
          </w:tcPr>
          <w:p w14:paraId="0FF2D80F" w14:textId="77777777" w:rsidR="00A33448" w:rsidRPr="0089303E" w:rsidRDefault="00A33448" w:rsidP="0089303E">
            <w:pPr>
              <w:spacing w:after="60"/>
              <w:jc w:val="left"/>
              <w:cnfStyle w:val="000000000000" w:firstRow="0" w:lastRow="0" w:firstColumn="0" w:lastColumn="0" w:oddVBand="0" w:evenVBand="0" w:oddHBand="0" w:evenHBand="0" w:firstRowFirstColumn="0" w:firstRowLastColumn="0" w:lastRowFirstColumn="0" w:lastRowLastColumn="0"/>
              <w:rPr>
                <w:rFonts w:ascii="Calibri" w:hAnsi="Calibri" w:cs="Calibri"/>
                <w:b/>
                <w:bCs/>
                <w:color w:val="000000"/>
                <w:sz w:val="16"/>
                <w:szCs w:val="16"/>
              </w:rPr>
            </w:pPr>
          </w:p>
        </w:tc>
        <w:tc>
          <w:tcPr>
            <w:tcW w:w="3305" w:type="pct"/>
            <w:gridSpan w:val="4"/>
            <w:shd w:val="clear" w:color="auto" w:fill="F2F2F2" w:themeFill="background1" w:themeFillShade="F2"/>
            <w:vAlign w:val="center"/>
          </w:tcPr>
          <w:p w14:paraId="674DF659" w14:textId="77777777" w:rsidR="00A33448" w:rsidRDefault="00A33448" w:rsidP="00002BC2">
            <w:pPr>
              <w:pStyle w:val="Prrafodelista"/>
              <w:numPr>
                <w:ilvl w:val="0"/>
                <w:numId w:val="78"/>
              </w:numPr>
              <w:spacing w:after="60"/>
              <w:ind w:left="459"/>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rPr>
            </w:pPr>
            <w:r>
              <w:rPr>
                <w:rFonts w:ascii="Calibri" w:hAnsi="Calibri" w:cs="Calibri"/>
                <w:color w:val="000000"/>
                <w:sz w:val="16"/>
                <w:szCs w:val="16"/>
              </w:rPr>
              <w:t>E</w:t>
            </w:r>
            <w:r w:rsidRPr="0028574C">
              <w:rPr>
                <w:rFonts w:ascii="Calibri" w:hAnsi="Calibri" w:cs="Calibri"/>
                <w:color w:val="000000"/>
                <w:sz w:val="16"/>
                <w:szCs w:val="16"/>
              </w:rPr>
              <w:t>stablece el modo en que los suministradores de productos petrolíferos deben certificar y contabilizar las cantidades producidas de biocombustibles y combustibles renovables de origen no biológico</w:t>
            </w:r>
            <w:r>
              <w:rPr>
                <w:rFonts w:ascii="Calibri" w:hAnsi="Calibri" w:cs="Calibri"/>
                <w:color w:val="000000"/>
                <w:sz w:val="16"/>
                <w:szCs w:val="16"/>
              </w:rPr>
              <w:t>.</w:t>
            </w:r>
          </w:p>
          <w:p w14:paraId="44DCDC09" w14:textId="2370B38A" w:rsidR="00A33448" w:rsidRPr="0028574C" w:rsidRDefault="00A33448" w:rsidP="00002BC2">
            <w:pPr>
              <w:pStyle w:val="Prrafodelista"/>
              <w:numPr>
                <w:ilvl w:val="0"/>
                <w:numId w:val="78"/>
              </w:numPr>
              <w:spacing w:after="60"/>
              <w:ind w:left="459"/>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rPr>
            </w:pPr>
            <w:r w:rsidRPr="0028574C">
              <w:rPr>
                <w:rFonts w:ascii="Calibri" w:hAnsi="Calibri" w:cs="Calibri"/>
                <w:color w:val="000000"/>
                <w:sz w:val="16"/>
                <w:szCs w:val="16"/>
              </w:rPr>
              <w:t>En el caso del transporte marítimo y aéreo, establece que los combustibles sostenibles computarán a efectos del cumplimiento de los objetivos de venta o consumo de biocarburantes desde 2024 y la cantidad suministrada tendrá un multiplicador 1,2</w:t>
            </w:r>
            <w:r>
              <w:rPr>
                <w:rFonts w:ascii="Calibri" w:hAnsi="Calibri" w:cs="Calibri"/>
                <w:color w:val="000000"/>
                <w:sz w:val="16"/>
                <w:szCs w:val="16"/>
              </w:rPr>
              <w:t>.</w:t>
            </w:r>
          </w:p>
        </w:tc>
      </w:tr>
      <w:tr w:rsidR="00002BC2" w:rsidRPr="0089303E" w14:paraId="02D70B53" w14:textId="77777777" w:rsidTr="00435E18">
        <w:trPr>
          <w:cnfStyle w:val="000000100000" w:firstRow="0" w:lastRow="0" w:firstColumn="0" w:lastColumn="0" w:oddVBand="0" w:evenVBand="0" w:oddHBand="1" w:evenHBand="0" w:firstRowFirstColumn="0" w:firstRowLastColumn="0" w:lastRowFirstColumn="0" w:lastRowLastColumn="0"/>
          <w:trHeight w:val="761"/>
        </w:trPr>
        <w:tc>
          <w:tcPr>
            <w:cnfStyle w:val="001000000000" w:firstRow="0" w:lastRow="0" w:firstColumn="1" w:lastColumn="0" w:oddVBand="0" w:evenVBand="0" w:oddHBand="0" w:evenHBand="0" w:firstRowFirstColumn="0" w:firstRowLastColumn="0" w:lastRowFirstColumn="0" w:lastRowLastColumn="0"/>
            <w:tcW w:w="174" w:type="pct"/>
            <w:vMerge/>
            <w:shd w:val="clear" w:color="auto" w:fill="595959" w:themeFill="text1" w:themeFillTint="A6"/>
            <w:textDirection w:val="btLr"/>
            <w:vAlign w:val="center"/>
          </w:tcPr>
          <w:p w14:paraId="64F48AE4" w14:textId="77777777" w:rsidR="00A33448" w:rsidRPr="0089303E" w:rsidRDefault="00A33448" w:rsidP="0089303E">
            <w:pPr>
              <w:spacing w:after="60"/>
              <w:ind w:left="113" w:right="113"/>
              <w:jc w:val="center"/>
              <w:rPr>
                <w:rFonts w:ascii="Calibri Light" w:hAnsi="Calibri Light" w:cs="Calibri Light"/>
                <w:color w:val="FFFFFF"/>
                <w:sz w:val="18"/>
                <w:szCs w:val="18"/>
              </w:rPr>
            </w:pPr>
          </w:p>
        </w:tc>
        <w:tc>
          <w:tcPr>
            <w:tcW w:w="652" w:type="pct"/>
            <w:shd w:val="clear" w:color="auto" w:fill="auto"/>
            <w:vAlign w:val="center"/>
          </w:tcPr>
          <w:p w14:paraId="14814697" w14:textId="4D4E4C2F" w:rsidR="00A33448" w:rsidRPr="0028574C" w:rsidRDefault="00A33448" w:rsidP="0089303E">
            <w:pPr>
              <w:spacing w:after="60"/>
              <w:jc w:val="left"/>
              <w:cnfStyle w:val="000000100000" w:firstRow="0" w:lastRow="0" w:firstColumn="0" w:lastColumn="0" w:oddVBand="0" w:evenVBand="0" w:oddHBand="1" w:evenHBand="0" w:firstRowFirstColumn="0" w:firstRowLastColumn="0" w:lastRowFirstColumn="0" w:lastRowLastColumn="0"/>
              <w:rPr>
                <w:rFonts w:ascii="Calibri Light" w:hAnsi="Calibri Light" w:cs="Calibri Light"/>
                <w:b/>
                <w:bCs/>
                <w:color w:val="25775E"/>
                <w:sz w:val="18"/>
                <w:szCs w:val="18"/>
              </w:rPr>
            </w:pPr>
            <w:r w:rsidRPr="007F5335">
              <w:rPr>
                <w:rFonts w:ascii="Calibri Light" w:hAnsi="Calibri Light" w:cs="Calibri Light"/>
                <w:b/>
                <w:bCs/>
                <w:color w:val="25775E"/>
                <w:sz w:val="18"/>
                <w:szCs w:val="18"/>
              </w:rPr>
              <w:t>Resolución de la Dirección General de la Marina Mercante</w:t>
            </w:r>
            <w:r>
              <w:rPr>
                <w:rFonts w:ascii="Calibri Light" w:hAnsi="Calibri Light" w:cs="Calibri Light"/>
                <w:b/>
                <w:bCs/>
                <w:color w:val="25775E"/>
                <w:sz w:val="18"/>
                <w:szCs w:val="18"/>
              </w:rPr>
              <w:t xml:space="preserve"> sobre exenciones temporales la aplicación del </w:t>
            </w:r>
            <w:proofErr w:type="spellStart"/>
            <w:r>
              <w:rPr>
                <w:rFonts w:ascii="Calibri Light" w:hAnsi="Calibri Light" w:cs="Calibri Light"/>
                <w:b/>
                <w:bCs/>
                <w:color w:val="25775E"/>
                <w:sz w:val="18"/>
                <w:szCs w:val="18"/>
              </w:rPr>
              <w:t>FuelEU</w:t>
            </w:r>
            <w:proofErr w:type="spellEnd"/>
            <w:r>
              <w:rPr>
                <w:rFonts w:ascii="Calibri Light" w:hAnsi="Calibri Light" w:cs="Calibri Light"/>
                <w:b/>
                <w:bCs/>
                <w:color w:val="25775E"/>
                <w:sz w:val="18"/>
                <w:szCs w:val="18"/>
              </w:rPr>
              <w:t xml:space="preserve"> </w:t>
            </w:r>
            <w:proofErr w:type="spellStart"/>
            <w:r>
              <w:rPr>
                <w:rFonts w:ascii="Calibri Light" w:hAnsi="Calibri Light" w:cs="Calibri Light"/>
                <w:b/>
                <w:bCs/>
                <w:color w:val="25775E"/>
                <w:sz w:val="18"/>
                <w:szCs w:val="18"/>
              </w:rPr>
              <w:t>Maritime</w:t>
            </w:r>
            <w:proofErr w:type="spellEnd"/>
          </w:p>
        </w:tc>
        <w:tc>
          <w:tcPr>
            <w:tcW w:w="869" w:type="pct"/>
            <w:shd w:val="clear" w:color="auto" w:fill="auto"/>
            <w:vAlign w:val="center"/>
          </w:tcPr>
          <w:p w14:paraId="3E7DC8B3" w14:textId="77777777" w:rsidR="00A33448" w:rsidRPr="0089303E" w:rsidRDefault="00A33448" w:rsidP="0089303E">
            <w:pPr>
              <w:spacing w:after="60"/>
              <w:jc w:val="left"/>
              <w:cnfStyle w:val="000000100000" w:firstRow="0" w:lastRow="0" w:firstColumn="0" w:lastColumn="0" w:oddVBand="0" w:evenVBand="0" w:oddHBand="1" w:evenHBand="0" w:firstRowFirstColumn="0" w:firstRowLastColumn="0" w:lastRowFirstColumn="0" w:lastRowLastColumn="0"/>
              <w:rPr>
                <w:rFonts w:ascii="Calibri" w:hAnsi="Calibri" w:cs="Calibri"/>
                <w:b/>
                <w:bCs/>
                <w:color w:val="000000"/>
                <w:sz w:val="16"/>
                <w:szCs w:val="16"/>
              </w:rPr>
            </w:pPr>
          </w:p>
        </w:tc>
        <w:tc>
          <w:tcPr>
            <w:tcW w:w="740" w:type="pct"/>
            <w:shd w:val="clear" w:color="auto" w:fill="auto"/>
            <w:vAlign w:val="center"/>
          </w:tcPr>
          <w:p w14:paraId="518CF625" w14:textId="77777777" w:rsidR="00A33448" w:rsidRDefault="00A33448" w:rsidP="007F5335">
            <w:pPr>
              <w:pStyle w:val="Prrafodelista"/>
              <w:spacing w:after="60"/>
              <w:ind w:left="459"/>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rPr>
            </w:pPr>
          </w:p>
        </w:tc>
        <w:tc>
          <w:tcPr>
            <w:tcW w:w="870" w:type="pct"/>
            <w:shd w:val="clear" w:color="auto" w:fill="auto"/>
            <w:vAlign w:val="center"/>
          </w:tcPr>
          <w:p w14:paraId="27CBDD5B" w14:textId="77777777" w:rsidR="00A33448" w:rsidRDefault="00A33448" w:rsidP="007F5335">
            <w:pPr>
              <w:pStyle w:val="Prrafodelista"/>
              <w:spacing w:after="60"/>
              <w:ind w:left="459"/>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rPr>
            </w:pPr>
          </w:p>
        </w:tc>
        <w:tc>
          <w:tcPr>
            <w:tcW w:w="826" w:type="pct"/>
            <w:shd w:val="clear" w:color="auto" w:fill="auto"/>
            <w:vAlign w:val="center"/>
          </w:tcPr>
          <w:p w14:paraId="52F7C5D2" w14:textId="77777777" w:rsidR="00A33448" w:rsidRDefault="00A33448" w:rsidP="007F5335">
            <w:pPr>
              <w:pStyle w:val="Prrafodelista"/>
              <w:spacing w:after="60"/>
              <w:ind w:left="459"/>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rPr>
            </w:pPr>
          </w:p>
        </w:tc>
        <w:tc>
          <w:tcPr>
            <w:tcW w:w="869" w:type="pct"/>
            <w:shd w:val="clear" w:color="auto" w:fill="auto"/>
            <w:vAlign w:val="center"/>
          </w:tcPr>
          <w:p w14:paraId="188AE858" w14:textId="77777777" w:rsidR="00A33448" w:rsidRDefault="00A33448" w:rsidP="00002BC2">
            <w:pPr>
              <w:pStyle w:val="Prrafodelista"/>
              <w:numPr>
                <w:ilvl w:val="0"/>
                <w:numId w:val="84"/>
              </w:numPr>
              <w:spacing w:after="60"/>
              <w:ind w:left="457"/>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rPr>
            </w:pPr>
            <w:r w:rsidRPr="007F5335">
              <w:rPr>
                <w:rFonts w:ascii="Calibri" w:hAnsi="Calibri" w:cs="Calibri"/>
                <w:color w:val="000000"/>
                <w:sz w:val="16"/>
                <w:szCs w:val="16"/>
              </w:rPr>
              <w:t>Viajes efectuados por buques de pasajeros distintos de los cruceros entre un puerto de escala bajo jurisdicción de un Estado miembro y un puerto de escala bajo jurisdicción del mismo Estado miembro situado en una isla con menos de 200.000 residentes permanentes</w:t>
            </w:r>
          </w:p>
          <w:p w14:paraId="3826658B" w14:textId="77777777" w:rsidR="00A33448" w:rsidRDefault="00A33448" w:rsidP="00002BC2">
            <w:pPr>
              <w:pStyle w:val="Prrafodelista"/>
              <w:numPr>
                <w:ilvl w:val="0"/>
                <w:numId w:val="84"/>
              </w:numPr>
              <w:spacing w:after="60"/>
              <w:ind w:left="457"/>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rPr>
            </w:pPr>
            <w:r w:rsidRPr="007F5335">
              <w:rPr>
                <w:rFonts w:ascii="Calibri" w:hAnsi="Calibri" w:cs="Calibri"/>
                <w:color w:val="000000"/>
                <w:sz w:val="16"/>
                <w:szCs w:val="16"/>
              </w:rPr>
              <w:lastRenderedPageBreak/>
              <w:t>Viajes entre un puerto de escala situado en una región ultraperiférica y otro puerto de escala situado en una región ultraperiférica, así como la energía consumida durante la estancia en esos puertos</w:t>
            </w:r>
          </w:p>
          <w:p w14:paraId="7A895D8E" w14:textId="58045A20" w:rsidR="00A33448" w:rsidRPr="007F5335" w:rsidRDefault="00A33448" w:rsidP="00002BC2">
            <w:pPr>
              <w:pStyle w:val="Prrafodelista"/>
              <w:numPr>
                <w:ilvl w:val="0"/>
                <w:numId w:val="84"/>
              </w:numPr>
              <w:spacing w:after="60"/>
              <w:ind w:left="457"/>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rPr>
            </w:pPr>
            <w:r w:rsidRPr="007F5335">
              <w:rPr>
                <w:rFonts w:ascii="Calibri" w:hAnsi="Calibri" w:cs="Calibri"/>
                <w:color w:val="000000"/>
                <w:sz w:val="16"/>
                <w:szCs w:val="16"/>
              </w:rPr>
              <w:t>Buques de pasaje que presten servicios de transporte marítimo en virtud de obligaciones de servicio público o de contratos de servicio público vigentes antes del 12 de octubre de 2023</w:t>
            </w:r>
          </w:p>
        </w:tc>
      </w:tr>
    </w:tbl>
    <w:p w14:paraId="55051F07" w14:textId="77777777" w:rsidR="0089303E" w:rsidRPr="0089303E" w:rsidRDefault="0089303E" w:rsidP="0089303E">
      <w:pPr>
        <w:pStyle w:val="5GlobalFactor"/>
        <w:rPr>
          <w:lang w:eastAsia="es-ES"/>
        </w:rPr>
      </w:pPr>
    </w:p>
    <w:sectPr w:rsidR="0089303E" w:rsidRPr="0089303E" w:rsidSect="0089303E">
      <w:headerReference w:type="default" r:id="rId25"/>
      <w:headerReference w:type="first" r:id="rId26"/>
      <w:pgSz w:w="16838" w:h="11906" w:orient="landscape"/>
      <w:pgMar w:top="1418" w:right="1418" w:bottom="1418" w:left="1418" w:header="907" w:footer="352"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2518582" w14:textId="77777777" w:rsidR="0086416B" w:rsidRDefault="0086416B" w:rsidP="0055703F">
      <w:pPr>
        <w:spacing w:after="0" w:line="240" w:lineRule="auto"/>
      </w:pPr>
      <w:r>
        <w:separator/>
      </w:r>
    </w:p>
  </w:endnote>
  <w:endnote w:type="continuationSeparator" w:id="0">
    <w:p w14:paraId="41114FA8" w14:textId="77777777" w:rsidR="0086416B" w:rsidRDefault="0086416B" w:rsidP="0055703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embedRegular r:id="rId1" w:fontKey="{D5C2AAB5-464F-471A-A740-9D1933995AB5}"/>
    <w:embedBold r:id="rId2" w:fontKey="{56F6BFCD-9F35-4531-ABAB-8DCC45976D14}"/>
    <w:embedItalic r:id="rId3" w:fontKey="{75D70C94-E775-4615-B99C-FE61C8C09D75}"/>
    <w:embedBoldItalic r:id="rId4" w:fontKey="{121E1DA4-2A03-452E-977E-072D326CD5F8}"/>
  </w:font>
  <w:font w:name="Arial">
    <w:panose1 w:val="020B0604020202020204"/>
    <w:charset w:val="00"/>
    <w:family w:val="swiss"/>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embedRegular r:id="rId5" w:fontKey="{A6B3A89A-95FE-4E6D-B903-CB1B200F2B1F}"/>
  </w:font>
  <w:font w:name="Century Gothic">
    <w:panose1 w:val="020B0502020202020204"/>
    <w:charset w:val="00"/>
    <w:family w:val="swiss"/>
    <w:pitch w:val="variable"/>
    <w:sig w:usb0="00000287" w:usb1="00000000" w:usb2="00000000" w:usb3="00000000" w:csb0="0000009F" w:csb1="00000000"/>
    <w:embedRegular r:id="rId6" w:fontKey="{40C5B29C-2B60-4731-B8E5-ACC5420C05C7}"/>
    <w:embedBold r:id="rId7" w:fontKey="{42701424-FFA5-4B71-994A-37D748829ED6}"/>
  </w:font>
  <w:font w:name="SimSun">
    <w:altName w:val="宋体"/>
    <w:panose1 w:val="02010600030101010101"/>
    <w:charset w:val="86"/>
    <w:family w:val="auto"/>
    <w:pitch w:val="variable"/>
    <w:sig w:usb0="00000203" w:usb1="288F0000" w:usb2="00000016" w:usb3="00000000" w:csb0="00040001" w:csb1="00000000"/>
  </w:font>
  <w:font w:name="Averta Semibold">
    <w:altName w:val="Calibri"/>
    <w:panose1 w:val="00000000000000000000"/>
    <w:charset w:val="00"/>
    <w:family w:val="modern"/>
    <w:notTrueType/>
    <w:pitch w:val="variable"/>
    <w:sig w:usb0="20000087" w:usb1="00000001" w:usb2="00000000" w:usb3="00000000" w:csb0="0000019B" w:csb1="00000000"/>
  </w:font>
  <w:font w:name="Calibri">
    <w:panose1 w:val="020F0502020204030204"/>
    <w:charset w:val="00"/>
    <w:family w:val="swiss"/>
    <w:pitch w:val="variable"/>
    <w:sig w:usb0="E4002EFF" w:usb1="C000247B" w:usb2="00000009" w:usb3="00000000" w:csb0="000001FF" w:csb1="00000000"/>
    <w:embedRegular r:id="rId8" w:fontKey="{9EEE3B5B-E947-40CD-B196-DF5717F98085}"/>
    <w:embedBold r:id="rId9" w:fontKey="{563531B5-53AA-4E4B-9F56-D5F46CEF6941}"/>
    <w:embedItalic r:id="rId10" w:fontKey="{7365F256-60BB-41E4-9201-A1191F496B16}"/>
    <w:embedBoldItalic r:id="rId11" w:fontKey="{E5DC52A8-7E84-415F-973D-47665B6B5CBA}"/>
  </w:font>
  <w:font w:name="MinionPro-Regular">
    <w:altName w:val="Calibri"/>
    <w:panose1 w:val="00000000000000000000"/>
    <w:charset w:val="00"/>
    <w:family w:val="auto"/>
    <w:notTrueType/>
    <w:pitch w:val="default"/>
    <w:sig w:usb0="00000003" w:usb1="00000000" w:usb2="00000000" w:usb3="00000000" w:csb0="00000001" w:csb1="00000000"/>
  </w:font>
  <w:font w:name="Averta ExtraBold">
    <w:altName w:val="Calibri"/>
    <w:panose1 w:val="00000000000000000000"/>
    <w:charset w:val="00"/>
    <w:family w:val="modern"/>
    <w:notTrueType/>
    <w:pitch w:val="variable"/>
    <w:sig w:usb0="20000087" w:usb1="00000001" w:usb2="00000000" w:usb3="00000000" w:csb0="0000019B" w:csb1="00000000"/>
  </w:font>
  <w:font w:name="Segoe UI">
    <w:panose1 w:val="020B0502040204020203"/>
    <w:charset w:val="00"/>
    <w:family w:val="swiss"/>
    <w:pitch w:val="variable"/>
    <w:sig w:usb0="E4002EFF" w:usb1="C000E47F" w:usb2="00000009" w:usb3="00000000" w:csb0="000001FF" w:csb1="00000000"/>
    <w:embedRegular r:id="rId12" w:fontKey="{5360D969-C744-4198-922A-CBC3FC31FE9A}"/>
  </w:font>
  <w:font w:name="Tahoma">
    <w:panose1 w:val="020B0604030504040204"/>
    <w:charset w:val="00"/>
    <w:family w:val="swiss"/>
    <w:pitch w:val="variable"/>
    <w:sig w:usb0="E1002EFF" w:usb1="C000605B" w:usb2="00000029" w:usb3="00000000" w:csb0="000101FF" w:csb1="00000000"/>
    <w:embedRegular r:id="rId13" w:fontKey="{8CB3B21A-829E-4B78-83BB-2B4F15A1AE97}"/>
  </w:font>
  <w:font w:name="Liberation Serif">
    <w:altName w:val="Times New Roman"/>
    <w:charset w:val="00"/>
    <w:family w:val="roman"/>
    <w:pitch w:val="variable"/>
  </w:font>
  <w:font w:name="Noto Sans CJK SC Regular">
    <w:charset w:val="00"/>
    <w:family w:val="roman"/>
    <w:pitch w:val="default"/>
  </w:font>
  <w:font w:name="FreeSans">
    <w:charset w:val="01"/>
    <w:family w:val="roman"/>
    <w:pitch w:val="variable"/>
  </w:font>
  <w:font w:name="Helvetica">
    <w:panose1 w:val="020B0604020202020204"/>
    <w:charset w:val="00"/>
    <w:family w:val="swiss"/>
    <w:pitch w:val="variable"/>
    <w:sig w:usb0="E0002EFF" w:usb1="C000785B" w:usb2="00000009" w:usb3="00000000" w:csb0="000001FF" w:csb1="00000000"/>
    <w:embedRegular r:id="rId14" w:fontKey="{943D495B-9807-4910-9B22-8E2EF2C32D34}"/>
  </w:font>
  <w:font w:name="Museo 300">
    <w:altName w:val="Calibri"/>
    <w:panose1 w:val="00000000000000000000"/>
    <w:charset w:val="00"/>
    <w:family w:val="modern"/>
    <w:notTrueType/>
    <w:pitch w:val="variable"/>
    <w:sig w:usb0="A00000AF" w:usb1="4000004A" w:usb2="00000000" w:usb3="00000000" w:csb0="00000093" w:csb1="00000000"/>
  </w:font>
  <w:font w:name="Gill Sans">
    <w:altName w:val="Segoe UI Semilight"/>
    <w:charset w:val="B1"/>
    <w:family w:val="swiss"/>
    <w:pitch w:val="variable"/>
    <w:sig w:usb0="80000A67" w:usb1="00000000" w:usb2="00000000" w:usb3="00000000" w:csb0="000001F7" w:csb1="00000000"/>
  </w:font>
  <w:font w:name="Open Sans">
    <w:charset w:val="00"/>
    <w:family w:val="swiss"/>
    <w:pitch w:val="variable"/>
    <w:sig w:usb0="E00002EF" w:usb1="4000205B" w:usb2="00000028" w:usb3="00000000" w:csb0="0000019F" w:csb1="00000000"/>
    <w:embedRegular r:id="rId15" w:fontKey="{E2FA4987-8F0D-44CB-BB26-2276E729EC2B}"/>
  </w:font>
  <w:font w:name="Cambria">
    <w:panose1 w:val="02040503050406030204"/>
    <w:charset w:val="00"/>
    <w:family w:val="roman"/>
    <w:pitch w:val="variable"/>
    <w:sig w:usb0="E00006FF" w:usb1="420024FF" w:usb2="02000000" w:usb3="00000000" w:csb0="0000019F" w:csb1="00000000"/>
    <w:embedRegular r:id="rId16" w:fontKey="{6F323757-8906-4B5F-8569-89EFC30ACAD2}"/>
    <w:embedBold r:id="rId17" w:fontKey="{70B9A197-0EFB-4F6D-9A2D-FB94DDA19F2B}"/>
  </w:font>
  <w:font w:name="Arial Unicode MS">
    <w:panose1 w:val="020B0604020202020204"/>
    <w:charset w:val="80"/>
    <w:family w:val="swiss"/>
    <w:pitch w:val="variable"/>
    <w:sig w:usb0="F7FFAFFF" w:usb1="E9DFFFFF" w:usb2="0000003F" w:usb3="00000000" w:csb0="003F01FF" w:csb1="00000000"/>
  </w:font>
  <w:font w:name="Optima">
    <w:altName w:val="Calibri"/>
    <w:charset w:val="00"/>
    <w:family w:val="swiss"/>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embedRegular r:id="rId18" w:fontKey="{15D70C8D-8FE2-4D03-9983-CC22DE9765DF}"/>
    <w:embedBold r:id="rId19" w:fontKey="{C804DDDD-0C07-4988-9E96-797501B37405}"/>
  </w:font>
  <w:font w:name="EYInterstate Light">
    <w:altName w:val="Calibri"/>
    <w:charset w:val="00"/>
    <w:family w:val="auto"/>
    <w:pitch w:val="variable"/>
    <w:sig w:usb0="00000001" w:usb1="5000206A" w:usb2="00000000" w:usb3="00000000" w:csb0="0000009F" w:csb1="00000000"/>
  </w:font>
  <w:font w:name="Mangal">
    <w:panose1 w:val="00000400000000000000"/>
    <w:charset w:val="00"/>
    <w:family w:val="roman"/>
    <w:pitch w:val="variable"/>
    <w:sig w:usb0="00008003" w:usb1="00000000" w:usb2="00000000" w:usb3="00000000" w:csb0="00000001" w:csb1="00000000"/>
  </w:font>
  <w:font w:name="Times">
    <w:panose1 w:val="02020603050405020304"/>
    <w:charset w:val="00"/>
    <w:family w:val="roman"/>
    <w:pitch w:val="variable"/>
    <w:sig w:usb0="E0002EFF" w:usb1="C000785B" w:usb2="00000009" w:usb3="00000000" w:csb0="000001FF" w:csb1="00000000"/>
    <w:embedRegular r:id="rId20" w:fontKey="{168A79D5-7931-42B6-8595-840F7D73714F}"/>
  </w:font>
  <w:font w:name="CenturyGothic,BoldItalic">
    <w:altName w:val="Times New Roman"/>
    <w:panose1 w:val="00000000000000000000"/>
    <w:charset w:val="00"/>
    <w:family w:val="auto"/>
    <w:notTrueType/>
    <w:pitch w:val="default"/>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embedRegular r:id="rId21" w:fontKey="{7B74B73C-227D-4847-8A58-659622A1DAD9}"/>
  </w:font>
  <w:font w:name="Verdana">
    <w:panose1 w:val="020B0604030504040204"/>
    <w:charset w:val="00"/>
    <w:family w:val="swiss"/>
    <w:pitch w:val="variable"/>
    <w:sig w:usb0="A00006FF" w:usb1="4000205B" w:usb2="00000010" w:usb3="00000000" w:csb0="0000019F" w:csb1="00000000"/>
    <w:embedRegular r:id="rId22" w:fontKey="{46D523BF-D28E-48F9-9320-C67D751870A3}"/>
    <w:embedBold r:id="rId23" w:fontKey="{C5A9E796-5CF3-4818-8CDB-807D24B292B4}"/>
  </w:font>
  <w:font w:name="Times-Roman">
    <w:altName w:val="Times New Roman"/>
    <w:panose1 w:val="00000000000000000000"/>
    <w:charset w:val="00"/>
    <w:family w:val="roman"/>
    <w:notTrueType/>
    <w:pitch w:val="default"/>
    <w:sig w:usb0="00000003" w:usb1="00000000" w:usb2="00000000" w:usb3="00000000" w:csb0="00000001" w:csb1="00000000"/>
  </w:font>
  <w:font w:name="Courier">
    <w:panose1 w:val="02070409020205020404"/>
    <w:charset w:val="00"/>
    <w:family w:val="modern"/>
    <w:notTrueType/>
    <w:pitch w:val="fixed"/>
    <w:sig w:usb0="00000003" w:usb1="00000000" w:usb2="00000000" w:usb3="00000000" w:csb0="00000001" w:csb1="00000000"/>
  </w:font>
  <w:font w:name="Myriad Pro Light">
    <w:altName w:val="Myriad Pro Light"/>
    <w:panose1 w:val="00000000000000000000"/>
    <w:charset w:val="00"/>
    <w:family w:val="swiss"/>
    <w:notTrueType/>
    <w:pitch w:val="default"/>
    <w:sig w:usb0="00000003" w:usb1="00000000" w:usb2="00000000" w:usb3="00000000" w:csb0="00000001" w:csb1="00000000"/>
  </w:font>
  <w:font w:name="Aller">
    <w:altName w:val="Calibri"/>
    <w:panose1 w:val="00000000000000000000"/>
    <w:charset w:val="00"/>
    <w:family w:val="swiss"/>
    <w:notTrueType/>
    <w:pitch w:val="default"/>
    <w:sig w:usb0="00000003" w:usb1="00000000" w:usb2="00000000" w:usb3="00000000" w:csb0="00000001" w:csb1="00000000"/>
  </w:font>
  <w:font w:name="Roboto">
    <w:charset w:val="00"/>
    <w:family w:val="auto"/>
    <w:pitch w:val="variable"/>
    <w:sig w:usb0="E0000AFF" w:usb1="5000217F" w:usb2="00000021" w:usb3="00000000" w:csb0="0000019F" w:csb1="00000000"/>
    <w:embedRegular r:id="rId24" w:fontKey="{FD64CFA3-70D0-461B-B510-D1314A821717}"/>
  </w:font>
  <w:font w:name="Averta">
    <w:altName w:val="Calibri"/>
    <w:panose1 w:val="00000000000000000000"/>
    <w:charset w:val="00"/>
    <w:family w:val="modern"/>
    <w:notTrueType/>
    <w:pitch w:val="variable"/>
    <w:sig w:usb0="20000087" w:usb1="00000001" w:usb2="00000000" w:usb3="00000000" w:csb0="0000019B" w:csb1="00000000"/>
  </w:font>
  <w:font w:name="Averta-Light">
    <w:altName w:val="Calibri"/>
    <w:panose1 w:val="00000000000000000000"/>
    <w:charset w:val="00"/>
    <w:family w:val="modern"/>
    <w:notTrueType/>
    <w:pitch w:val="variable"/>
    <w:sig w:usb0="20000087" w:usb1="00000001" w:usb2="00000000" w:usb3="00000000" w:csb0="0000019B"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3EE31B" w14:textId="7510453F" w:rsidR="008B18A1" w:rsidRPr="009E6AE1" w:rsidRDefault="009E6AE1" w:rsidP="009E6AE1">
    <w:pPr>
      <w:tabs>
        <w:tab w:val="center" w:pos="4550"/>
        <w:tab w:val="left" w:pos="5818"/>
      </w:tabs>
      <w:ind w:right="260"/>
      <w:rPr>
        <w:sz w:val="24"/>
        <w:szCs w:val="24"/>
      </w:rPr>
    </w:pPr>
    <w:r>
      <w:rPr>
        <w:spacing w:val="60"/>
        <w:sz w:val="24"/>
        <w:szCs w:val="24"/>
      </w:rPr>
      <w:ptab w:relativeTo="margin" w:alignment="right" w:leader="none"/>
    </w:r>
    <w:r w:rsidRPr="009E6AE1">
      <w:rPr>
        <w:spacing w:val="60"/>
        <w:sz w:val="24"/>
        <w:szCs w:val="24"/>
      </w:rPr>
      <w:t>Página</w:t>
    </w:r>
    <w:r w:rsidRPr="009E6AE1">
      <w:rPr>
        <w:sz w:val="24"/>
        <w:szCs w:val="24"/>
      </w:rPr>
      <w:t xml:space="preserve"> </w:t>
    </w:r>
    <w:r w:rsidRPr="009E6AE1">
      <w:rPr>
        <w:sz w:val="24"/>
        <w:szCs w:val="24"/>
      </w:rPr>
      <w:fldChar w:fldCharType="begin"/>
    </w:r>
    <w:r w:rsidRPr="009E6AE1">
      <w:rPr>
        <w:sz w:val="24"/>
        <w:szCs w:val="24"/>
      </w:rPr>
      <w:instrText>PAGE   \* MERGEFORMAT</w:instrText>
    </w:r>
    <w:r w:rsidRPr="009E6AE1">
      <w:rPr>
        <w:sz w:val="24"/>
        <w:szCs w:val="24"/>
      </w:rPr>
      <w:fldChar w:fldCharType="separate"/>
    </w:r>
    <w:r>
      <w:rPr>
        <w:sz w:val="24"/>
        <w:szCs w:val="24"/>
      </w:rPr>
      <w:t>1</w:t>
    </w:r>
    <w:r w:rsidRPr="009E6AE1">
      <w:rPr>
        <w:sz w:val="24"/>
        <w:szCs w:val="24"/>
      </w:rPr>
      <w:fldChar w:fldCharType="end"/>
    </w:r>
    <w:r w:rsidRPr="009E6AE1">
      <w:rPr>
        <w:sz w:val="24"/>
        <w:szCs w:val="24"/>
      </w:rPr>
      <w:t xml:space="preserve"> | </w:t>
    </w:r>
    <w:r w:rsidRPr="009E6AE1">
      <w:rPr>
        <w:sz w:val="24"/>
        <w:szCs w:val="24"/>
      </w:rPr>
      <w:fldChar w:fldCharType="begin"/>
    </w:r>
    <w:r w:rsidRPr="009E6AE1">
      <w:rPr>
        <w:sz w:val="24"/>
        <w:szCs w:val="24"/>
      </w:rPr>
      <w:instrText>NUMPAGES  \* Arabic  \* MERGEFORMAT</w:instrText>
    </w:r>
    <w:r w:rsidRPr="009E6AE1">
      <w:rPr>
        <w:sz w:val="24"/>
        <w:szCs w:val="24"/>
      </w:rPr>
      <w:fldChar w:fldCharType="separate"/>
    </w:r>
    <w:r>
      <w:rPr>
        <w:sz w:val="24"/>
        <w:szCs w:val="24"/>
      </w:rPr>
      <w:t>58</w:t>
    </w:r>
    <w:r w:rsidRPr="009E6AE1">
      <w:rPr>
        <w:sz w:val="24"/>
        <w:szCs w:val="24"/>
      </w:rPr>
      <w:fldChar w:fldCharType="end"/>
    </w:r>
    <w:r w:rsidR="008B18A1">
      <w:rPr>
        <w:rFonts w:cstheme="majorHAnsi"/>
        <w:b/>
        <w:bCs/>
        <w:noProof/>
        <w:color w:val="4F657D"/>
      </w:rPr>
      <w:drawing>
        <wp:anchor distT="0" distB="0" distL="114300" distR="114300" simplePos="0" relativeHeight="251653632" behindDoc="0" locked="0" layoutInCell="1" allowOverlap="1" wp14:anchorId="210098A1" wp14:editId="4AD454B7">
          <wp:simplePos x="0" y="0"/>
          <wp:positionH relativeFrom="margin">
            <wp:posOffset>720090</wp:posOffset>
          </wp:positionH>
          <wp:positionV relativeFrom="paragraph">
            <wp:posOffset>3303270</wp:posOffset>
          </wp:positionV>
          <wp:extent cx="5391150" cy="1990725"/>
          <wp:effectExtent l="0" t="0" r="0" b="9525"/>
          <wp:wrapThrough wrapText="bothSides">
            <wp:wrapPolygon edited="0">
              <wp:start x="18547" y="8268"/>
              <wp:lineTo x="9693" y="19843"/>
              <wp:lineTo x="8472" y="21497"/>
              <wp:lineTo x="21524" y="21497"/>
              <wp:lineTo x="21524" y="8681"/>
              <wp:lineTo x="20073" y="8268"/>
              <wp:lineTo x="18547" y="8268"/>
            </wp:wrapPolygon>
          </wp:wrapThrough>
          <wp:docPr id="1014205118" name="Imagen 1014205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391150" cy="1990725"/>
                  </a:xfrm>
                  <a:prstGeom prst="rect">
                    <a:avLst/>
                  </a:prstGeom>
                  <a:noFill/>
                  <a:ln>
                    <a:noFill/>
                  </a:ln>
                </pic:spPr>
              </pic:pic>
            </a:graphicData>
          </a:graphic>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88787B" w14:textId="6222B2DE" w:rsidR="00627AD8" w:rsidRPr="00627AD8" w:rsidRDefault="008E0BB0" w:rsidP="00627AD8">
    <w:pPr>
      <w:tabs>
        <w:tab w:val="center" w:pos="4550"/>
        <w:tab w:val="left" w:pos="5818"/>
      </w:tabs>
      <w:ind w:right="260"/>
      <w:jc w:val="right"/>
      <w:rPr>
        <w:color w:val="222A35" w:themeColor="text2" w:themeShade="80"/>
        <w:sz w:val="24"/>
        <w:szCs w:val="24"/>
      </w:rPr>
    </w:pPr>
    <w:r w:rsidRPr="008E0BB0">
      <w:rPr>
        <w:noProof/>
        <w:color w:val="4472C4" w:themeColor="accent1"/>
      </w:rPr>
      <mc:AlternateContent>
        <mc:Choice Requires="wps">
          <w:drawing>
            <wp:anchor distT="45720" distB="45720" distL="114300" distR="114300" simplePos="0" relativeHeight="251662848" behindDoc="0" locked="0" layoutInCell="1" allowOverlap="1" wp14:anchorId="6834D5F9" wp14:editId="7F59ACD7">
              <wp:simplePos x="0" y="0"/>
              <wp:positionH relativeFrom="column">
                <wp:posOffset>5813140</wp:posOffset>
              </wp:positionH>
              <wp:positionV relativeFrom="paragraph">
                <wp:posOffset>194310</wp:posOffset>
              </wp:positionV>
              <wp:extent cx="791210" cy="252095"/>
              <wp:effectExtent l="0" t="0" r="8890" b="0"/>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1210" cy="252095"/>
                      </a:xfrm>
                      <a:prstGeom prst="rect">
                        <a:avLst/>
                      </a:prstGeom>
                      <a:solidFill>
                        <a:srgbClr val="FFFFFF"/>
                      </a:solidFill>
                      <a:ln w="9525">
                        <a:noFill/>
                        <a:miter lim="800000"/>
                        <a:headEnd/>
                        <a:tailEnd/>
                      </a:ln>
                    </wps:spPr>
                    <wps:txbx>
                      <w:txbxContent>
                        <w:p w14:paraId="68BC4C30" w14:textId="0CC1A44C" w:rsidR="008E0BB0" w:rsidRPr="008E0BB0" w:rsidRDefault="008E0BB0" w:rsidP="008E0BB0">
                          <w:pPr>
                            <w:rPr>
                              <w:sz w:val="16"/>
                              <w:szCs w:val="18"/>
                            </w:rPr>
                          </w:pPr>
                          <w:proofErr w:type="spellStart"/>
                          <w:r>
                            <w:rPr>
                              <w:sz w:val="16"/>
                              <w:szCs w:val="18"/>
                            </w:rPr>
                            <w:t>Ref</w:t>
                          </w:r>
                          <w:proofErr w:type="spellEnd"/>
                          <w:r>
                            <w:rPr>
                              <w:sz w:val="16"/>
                              <w:szCs w:val="18"/>
                            </w:rPr>
                            <w:t xml:space="preserve"> </w:t>
                          </w:r>
                          <w:r w:rsidRPr="008E0BB0">
                            <w:rPr>
                              <w:sz w:val="16"/>
                              <w:szCs w:val="18"/>
                            </w:rPr>
                            <w:t>B2929_02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834D5F9" id="_x0000_t202" coordsize="21600,21600" o:spt="202" path="m,l,21600r21600,l21600,xe">
              <v:stroke joinstyle="miter"/>
              <v:path gradientshapeok="t" o:connecttype="rect"/>
            </v:shapetype>
            <v:shape id="_x0000_s1028" type="#_x0000_t202" style="position:absolute;left:0;text-align:left;margin-left:457.75pt;margin-top:15.3pt;width:62.3pt;height:19.85pt;z-index:2516628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" stroked="f">
              <v:textbox>
                <w:txbxContent>
                  <w:p w14:paraId="68BC4C30" w14:textId="0CC1A44C" w:rsidR="008E0BB0" w:rsidRPr="008E0BB0" w:rsidRDefault="008E0BB0" w:rsidP="008E0BB0">
                    <w:pPr>
                      <w:rPr>
                        <w:sz w:val="16"/>
                        <w:szCs w:val="18"/>
                      </w:rPr>
                    </w:pPr>
                    <w:proofErr w:type="spellStart"/>
                    <w:r>
                      <w:rPr>
                        <w:sz w:val="16"/>
                        <w:szCs w:val="18"/>
                      </w:rPr>
                      <w:t>Ref</w:t>
                    </w:r>
                    <w:proofErr w:type="spellEnd"/>
                    <w:r>
                      <w:rPr>
                        <w:sz w:val="16"/>
                        <w:szCs w:val="18"/>
                      </w:rPr>
                      <w:t xml:space="preserve"> </w:t>
                    </w:r>
                    <w:r w:rsidRPr="008E0BB0">
                      <w:rPr>
                        <w:sz w:val="16"/>
                        <w:szCs w:val="18"/>
                      </w:rPr>
                      <w:t>B2929_02</w:t>
                    </w:r>
                  </w:p>
                </w:txbxContent>
              </v:textbox>
              <w10:wrap type="squar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5645EF" w14:textId="6EC6FF9C" w:rsidR="009E6AE1" w:rsidRPr="009E6AE1" w:rsidRDefault="009E6AE1" w:rsidP="009E6AE1">
    <w:pPr>
      <w:tabs>
        <w:tab w:val="center" w:pos="4550"/>
        <w:tab w:val="left" w:pos="5818"/>
      </w:tabs>
      <w:ind w:right="260"/>
      <w:rPr>
        <w:sz w:val="24"/>
        <w:szCs w:val="24"/>
      </w:rPr>
    </w:pPr>
    <w:r>
      <w:rPr>
        <w:rFonts w:cstheme="majorHAnsi"/>
        <w:b/>
        <w:bCs/>
        <w:noProof/>
        <w:color w:val="4F657D"/>
      </w:rPr>
      <w:drawing>
        <wp:anchor distT="0" distB="0" distL="114300" distR="114300" simplePos="0" relativeHeight="251656704" behindDoc="0" locked="0" layoutInCell="1" allowOverlap="1" wp14:anchorId="65C582CA" wp14:editId="022E0ABF">
          <wp:simplePos x="0" y="0"/>
          <wp:positionH relativeFrom="margin">
            <wp:posOffset>720090</wp:posOffset>
          </wp:positionH>
          <wp:positionV relativeFrom="paragraph">
            <wp:posOffset>3303270</wp:posOffset>
          </wp:positionV>
          <wp:extent cx="5391150" cy="1990725"/>
          <wp:effectExtent l="0" t="0" r="0" b="9525"/>
          <wp:wrapThrough wrapText="bothSides">
            <wp:wrapPolygon edited="0">
              <wp:start x="18547" y="8268"/>
              <wp:lineTo x="9693" y="19843"/>
              <wp:lineTo x="8472" y="21497"/>
              <wp:lineTo x="21524" y="21497"/>
              <wp:lineTo x="21524" y="8681"/>
              <wp:lineTo x="20073" y="8268"/>
              <wp:lineTo x="18547" y="8268"/>
            </wp:wrapPolygon>
          </wp:wrapThrough>
          <wp:docPr id="383483636" name="Imagen 383483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391150" cy="1990725"/>
                  </a:xfrm>
                  <a:prstGeom prst="rect">
                    <a:avLst/>
                  </a:prstGeom>
                  <a:noFill/>
                  <a:ln>
                    <a:noFill/>
                  </a:ln>
                </pic:spPr>
              </pic:pic>
            </a:graphicData>
          </a:graphic>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CF9151" w14:textId="216D2343" w:rsidR="00627AD8" w:rsidRPr="009E6AE1" w:rsidRDefault="00627AD8" w:rsidP="009E6AE1">
    <w:pPr>
      <w:tabs>
        <w:tab w:val="center" w:pos="4550"/>
        <w:tab w:val="left" w:pos="5818"/>
      </w:tabs>
      <w:ind w:right="260"/>
      <w:rPr>
        <w:sz w:val="24"/>
        <w:szCs w:val="2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1881906" w14:textId="77777777" w:rsidR="0086416B" w:rsidRDefault="0086416B" w:rsidP="0055703F">
      <w:pPr>
        <w:spacing w:after="0" w:line="240" w:lineRule="auto"/>
      </w:pPr>
      <w:r>
        <w:separator/>
      </w:r>
    </w:p>
  </w:footnote>
  <w:footnote w:type="continuationSeparator" w:id="0">
    <w:p w14:paraId="33C7F9D8" w14:textId="77777777" w:rsidR="0086416B" w:rsidRDefault="0086416B" w:rsidP="0055703F">
      <w:pPr>
        <w:spacing w:after="0" w:line="240" w:lineRule="auto"/>
      </w:pPr>
      <w:r>
        <w:continuationSeparator/>
      </w:r>
    </w:p>
  </w:footnote>
  <w:footnote w:id="1">
    <w:p w14:paraId="7E431C86" w14:textId="02DC951F" w:rsidR="00741441" w:rsidRPr="00741441" w:rsidRDefault="00741441">
      <w:pPr>
        <w:pStyle w:val="Textonotapie"/>
        <w:rPr>
          <w:sz w:val="16"/>
          <w:szCs w:val="16"/>
        </w:rPr>
      </w:pPr>
      <w:r w:rsidRPr="00741441">
        <w:rPr>
          <w:rStyle w:val="Refdenotaalpie"/>
          <w:sz w:val="16"/>
          <w:szCs w:val="16"/>
        </w:rPr>
        <w:footnoteRef/>
      </w:r>
      <w:r w:rsidRPr="00741441">
        <w:rPr>
          <w:sz w:val="16"/>
          <w:szCs w:val="16"/>
        </w:rPr>
        <w:t xml:space="preserve"> Fuente: </w:t>
      </w:r>
      <w:hyperlink r:id="rId1" w:history="1">
        <w:r w:rsidRPr="00741441">
          <w:rPr>
            <w:rStyle w:val="Hipervnculo"/>
            <w:sz w:val="16"/>
            <w:szCs w:val="16"/>
          </w:rPr>
          <w:t>https://eur-lex.europa.eu/legal-content/ES/TXT/PDF/?uri=OJ:L_202400917</w:t>
        </w:r>
      </w:hyperlink>
    </w:p>
  </w:footnote>
  <w:footnote w:id="2">
    <w:p w14:paraId="483C5363" w14:textId="73B66310" w:rsidR="00741441" w:rsidRPr="00741441" w:rsidRDefault="00741441">
      <w:pPr>
        <w:pStyle w:val="Textonotapie"/>
        <w:rPr>
          <w:sz w:val="16"/>
          <w:szCs w:val="16"/>
        </w:rPr>
      </w:pPr>
      <w:r w:rsidRPr="00741441">
        <w:rPr>
          <w:rStyle w:val="Refdenotaalpie"/>
          <w:sz w:val="16"/>
          <w:szCs w:val="16"/>
        </w:rPr>
        <w:footnoteRef/>
      </w:r>
      <w:r w:rsidRPr="00741441">
        <w:rPr>
          <w:sz w:val="16"/>
          <w:szCs w:val="16"/>
        </w:rPr>
        <w:t xml:space="preserve"> Fuente: </w:t>
      </w:r>
      <w:hyperlink r:id="rId2" w:history="1">
        <w:r w:rsidRPr="00741441">
          <w:rPr>
            <w:rStyle w:val="Hipervnculo"/>
            <w:sz w:val="16"/>
            <w:szCs w:val="16"/>
          </w:rPr>
          <w:t>https://eur-lex.europa.eu/legal-content/ES/TXT/?uri=CELEX%3A32023L2413</w:t>
        </w:r>
      </w:hyperlink>
    </w:p>
  </w:footnote>
  <w:footnote w:id="3">
    <w:p w14:paraId="49A758F9" w14:textId="77777777" w:rsidR="0001004B" w:rsidRPr="00167192" w:rsidRDefault="0001004B" w:rsidP="0001004B">
      <w:pPr>
        <w:pStyle w:val="Textonotapie"/>
        <w:rPr>
          <w:sz w:val="16"/>
          <w:szCs w:val="16"/>
        </w:rPr>
      </w:pPr>
      <w:r w:rsidRPr="00167192">
        <w:rPr>
          <w:rStyle w:val="Refdenotaalpie"/>
          <w:sz w:val="16"/>
          <w:szCs w:val="16"/>
        </w:rPr>
        <w:footnoteRef/>
      </w:r>
      <w:r w:rsidRPr="00167192">
        <w:rPr>
          <w:sz w:val="16"/>
          <w:szCs w:val="16"/>
        </w:rPr>
        <w:t xml:space="preserve"> Fuente: </w:t>
      </w:r>
      <w:hyperlink r:id="rId3" w:history="1">
        <w:r w:rsidRPr="00167192">
          <w:rPr>
            <w:rStyle w:val="Hipervnculo"/>
            <w:sz w:val="16"/>
            <w:szCs w:val="16"/>
          </w:rPr>
          <w:t>https://eur-lex.europa.eu/legal-content/ES/TXT/?uri=CELEX%3A32023R1804</w:t>
        </w:r>
      </w:hyperlink>
    </w:p>
  </w:footnote>
  <w:footnote w:id="4">
    <w:p w14:paraId="46586190" w14:textId="33133BE9" w:rsidR="00741441" w:rsidRPr="008A43B8" w:rsidRDefault="00741441">
      <w:pPr>
        <w:pStyle w:val="Textonotapie"/>
        <w:rPr>
          <w:sz w:val="16"/>
          <w:szCs w:val="16"/>
        </w:rPr>
      </w:pPr>
      <w:r w:rsidRPr="00741441">
        <w:rPr>
          <w:rStyle w:val="Refdenotaalpie"/>
          <w:sz w:val="16"/>
          <w:szCs w:val="16"/>
        </w:rPr>
        <w:footnoteRef/>
      </w:r>
      <w:r w:rsidRPr="00741441">
        <w:rPr>
          <w:sz w:val="16"/>
          <w:szCs w:val="16"/>
        </w:rPr>
        <w:t xml:space="preserve"> Fuente: </w:t>
      </w:r>
      <w:hyperlink r:id="rId4" w:history="1">
        <w:r w:rsidRPr="00741441">
          <w:rPr>
            <w:rStyle w:val="Hipervnculo"/>
            <w:sz w:val="16"/>
            <w:szCs w:val="16"/>
          </w:rPr>
          <w:t>https://eur-lex.europa.eu/legal-content/ES/TXT/?uri=OJ%3AL_202401760</w:t>
        </w:r>
      </w:hyperlink>
    </w:p>
  </w:footnote>
  <w:footnote w:id="5">
    <w:p w14:paraId="21E5FE11" w14:textId="41E9CFC8" w:rsidR="00741441" w:rsidRPr="005A3B3B" w:rsidRDefault="00741441">
      <w:pPr>
        <w:pStyle w:val="Textonotapie"/>
        <w:rPr>
          <w:sz w:val="16"/>
          <w:szCs w:val="16"/>
        </w:rPr>
      </w:pPr>
      <w:r w:rsidRPr="005A3B3B">
        <w:rPr>
          <w:rStyle w:val="Refdenotaalpie"/>
          <w:sz w:val="16"/>
          <w:szCs w:val="16"/>
        </w:rPr>
        <w:footnoteRef/>
      </w:r>
      <w:r w:rsidRPr="005A3B3B">
        <w:rPr>
          <w:sz w:val="16"/>
          <w:szCs w:val="16"/>
        </w:rPr>
        <w:t xml:space="preserve"> Fuente: </w:t>
      </w:r>
      <w:hyperlink r:id="rId5" w:history="1">
        <w:r w:rsidRPr="005A3B3B">
          <w:rPr>
            <w:rStyle w:val="Hipervnculo"/>
            <w:sz w:val="16"/>
            <w:szCs w:val="16"/>
          </w:rPr>
          <w:t>https://eur-lex.europa.eu/legal-content/ES/TXT/?uri=CELEX%3A32023L1791</w:t>
        </w:r>
      </w:hyperlink>
    </w:p>
  </w:footnote>
  <w:footnote w:id="6">
    <w:p w14:paraId="7C5ED148" w14:textId="41BA4306" w:rsidR="008A43B8" w:rsidRDefault="008A43B8">
      <w:pPr>
        <w:pStyle w:val="Textonotapie"/>
      </w:pPr>
      <w:r w:rsidRPr="008A43B8">
        <w:rPr>
          <w:rStyle w:val="Refdenotaalpie"/>
          <w:sz w:val="16"/>
          <w:szCs w:val="16"/>
        </w:rPr>
        <w:footnoteRef/>
      </w:r>
      <w:r w:rsidRPr="008A43B8">
        <w:rPr>
          <w:sz w:val="16"/>
          <w:szCs w:val="16"/>
        </w:rPr>
        <w:t xml:space="preserve"> Fuente: </w:t>
      </w:r>
      <w:hyperlink r:id="rId6" w:history="1">
        <w:r w:rsidRPr="008A43B8">
          <w:rPr>
            <w:rStyle w:val="Hipervnculo"/>
            <w:sz w:val="16"/>
            <w:szCs w:val="16"/>
          </w:rPr>
          <w:t>http://data.europa.eu/eli/reco/2024/2002/oj</w:t>
        </w:r>
      </w:hyperlink>
    </w:p>
  </w:footnote>
  <w:footnote w:id="7">
    <w:p w14:paraId="0E0DC392" w14:textId="7EDCB453" w:rsidR="00F81D0E" w:rsidRDefault="00F81D0E">
      <w:pPr>
        <w:pStyle w:val="Textonotapie"/>
      </w:pPr>
      <w:r w:rsidRPr="00F81D0E">
        <w:rPr>
          <w:rStyle w:val="Refdenotaalpie"/>
          <w:sz w:val="16"/>
          <w:szCs w:val="16"/>
        </w:rPr>
        <w:footnoteRef/>
      </w:r>
      <w:r w:rsidRPr="00F81D0E">
        <w:rPr>
          <w:sz w:val="16"/>
          <w:szCs w:val="16"/>
        </w:rPr>
        <w:t xml:space="preserve"> Fuente: </w:t>
      </w:r>
      <w:hyperlink r:id="rId7" w:history="1">
        <w:r w:rsidRPr="00F81D0E">
          <w:rPr>
            <w:rStyle w:val="Hipervnculo"/>
            <w:sz w:val="16"/>
            <w:szCs w:val="16"/>
          </w:rPr>
          <w:t>http://data.europa.eu/eli/reco/2024/2143/oj</w:t>
        </w:r>
      </w:hyperlink>
    </w:p>
  </w:footnote>
  <w:footnote w:id="8">
    <w:p w14:paraId="4C19376E" w14:textId="5CA2477B" w:rsidR="005A3B3B" w:rsidRPr="005A3B3B" w:rsidRDefault="005A3B3B">
      <w:pPr>
        <w:pStyle w:val="Textonotapie"/>
        <w:rPr>
          <w:sz w:val="16"/>
          <w:szCs w:val="16"/>
        </w:rPr>
      </w:pPr>
      <w:r w:rsidRPr="005A3B3B">
        <w:rPr>
          <w:rStyle w:val="Refdenotaalpie"/>
          <w:sz w:val="16"/>
          <w:szCs w:val="16"/>
        </w:rPr>
        <w:footnoteRef/>
      </w:r>
      <w:r w:rsidRPr="005A3B3B">
        <w:rPr>
          <w:sz w:val="16"/>
          <w:szCs w:val="16"/>
        </w:rPr>
        <w:t xml:space="preserve"> Fuente: </w:t>
      </w:r>
      <w:hyperlink r:id="rId8" w:history="1">
        <w:r w:rsidRPr="005A3B3B">
          <w:rPr>
            <w:rStyle w:val="Hipervnculo"/>
            <w:sz w:val="16"/>
            <w:szCs w:val="16"/>
          </w:rPr>
          <w:t>https://eur-lex.europa.eu/legal-content/ES/TXT/?uri=OJ:L_202302441</w:t>
        </w:r>
      </w:hyperlink>
    </w:p>
  </w:footnote>
  <w:footnote w:id="9">
    <w:p w14:paraId="7BE45E9E" w14:textId="2C6F08B4" w:rsidR="008A43B8" w:rsidRPr="008A43B8" w:rsidRDefault="008A43B8">
      <w:pPr>
        <w:pStyle w:val="Textonotapie"/>
        <w:rPr>
          <w:sz w:val="18"/>
          <w:szCs w:val="18"/>
        </w:rPr>
      </w:pPr>
      <w:r w:rsidRPr="008A43B8">
        <w:rPr>
          <w:rStyle w:val="Refdenotaalpie"/>
          <w:sz w:val="16"/>
          <w:szCs w:val="16"/>
        </w:rPr>
        <w:footnoteRef/>
      </w:r>
      <w:r w:rsidRPr="008A43B8">
        <w:rPr>
          <w:sz w:val="16"/>
          <w:szCs w:val="16"/>
        </w:rPr>
        <w:t xml:space="preserve"> Fuente: </w:t>
      </w:r>
      <w:hyperlink r:id="rId9" w:history="1">
        <w:r w:rsidRPr="008A43B8">
          <w:rPr>
            <w:rStyle w:val="Hipervnculo"/>
            <w:sz w:val="16"/>
            <w:szCs w:val="16"/>
          </w:rPr>
          <w:t>https://boe.es/boe/dias/2024/07/16/pdfs/BOE-A-2024-14545.pdf</w:t>
        </w:r>
      </w:hyperlink>
    </w:p>
  </w:footnote>
  <w:footnote w:id="10">
    <w:p w14:paraId="52635CA8" w14:textId="330ACD0F" w:rsidR="00377592" w:rsidRPr="00690222" w:rsidRDefault="00377592" w:rsidP="00F12FAE">
      <w:pPr>
        <w:pStyle w:val="Textonotapie"/>
        <w:jc w:val="left"/>
        <w:rPr>
          <w:sz w:val="16"/>
          <w:szCs w:val="16"/>
        </w:rPr>
      </w:pPr>
      <w:r w:rsidRPr="00690222">
        <w:rPr>
          <w:rStyle w:val="Refdenotaalpie"/>
          <w:sz w:val="16"/>
          <w:szCs w:val="16"/>
        </w:rPr>
        <w:footnoteRef/>
      </w:r>
      <w:r w:rsidR="00F12FAE">
        <w:rPr>
          <w:sz w:val="16"/>
          <w:szCs w:val="16"/>
        </w:rPr>
        <w:t xml:space="preserve"> </w:t>
      </w:r>
      <w:r w:rsidRPr="00690222">
        <w:rPr>
          <w:sz w:val="16"/>
          <w:szCs w:val="16"/>
        </w:rPr>
        <w:t xml:space="preserve">Fuente: </w:t>
      </w:r>
      <w:hyperlink r:id="rId10" w:history="1">
        <w:r w:rsidRPr="00690222">
          <w:rPr>
            <w:rStyle w:val="Hipervnculo"/>
            <w:sz w:val="16"/>
            <w:szCs w:val="16"/>
          </w:rPr>
          <w:t>https://climate.ec.europa.eu/news-your-voice/news/new-monitoring-rules-agreed-eu-ets-including-non-co2-emissions-aviation-sector-2024-08-30_en</w:t>
        </w:r>
      </w:hyperlink>
    </w:p>
  </w:footnote>
  <w:footnote w:id="11">
    <w:p w14:paraId="12E83EDD" w14:textId="6268D1B9" w:rsidR="00C25217" w:rsidRPr="00B25A8C" w:rsidRDefault="00B25A8C" w:rsidP="00F12FAE">
      <w:pPr>
        <w:pStyle w:val="Textonotapie"/>
        <w:jc w:val="left"/>
        <w:rPr>
          <w:sz w:val="16"/>
          <w:szCs w:val="16"/>
        </w:rPr>
      </w:pPr>
      <w:r w:rsidRPr="00B25A8C">
        <w:rPr>
          <w:rStyle w:val="Refdenotaalpie"/>
          <w:sz w:val="16"/>
          <w:szCs w:val="16"/>
        </w:rPr>
        <w:footnoteRef/>
      </w:r>
      <w:r w:rsidRPr="00B25A8C">
        <w:rPr>
          <w:sz w:val="16"/>
          <w:szCs w:val="16"/>
        </w:rPr>
        <w:t xml:space="preserve"> Fuente: </w:t>
      </w:r>
      <w:hyperlink r:id="rId11" w:history="1">
        <w:r w:rsidR="00C25217" w:rsidRPr="00C93DAA">
          <w:rPr>
            <w:rStyle w:val="Hipervnculo"/>
            <w:sz w:val="16"/>
            <w:szCs w:val="16"/>
          </w:rPr>
          <w:t>https://ec.europa.eu/info/law/better-regulation/have-your-say/initiatives/14217-Emissions-trading-system-ETS-Monitoring-and-Reporting-Regulation-amendment-in-response-to-the-ETS-revision_en</w:t>
        </w:r>
      </w:hyperlink>
    </w:p>
  </w:footnote>
  <w:footnote w:id="12">
    <w:p w14:paraId="188C2CFE" w14:textId="718ABAA8" w:rsidR="005A3B3B" w:rsidRDefault="005A3B3B">
      <w:pPr>
        <w:pStyle w:val="Textonotapie"/>
      </w:pPr>
      <w:r w:rsidRPr="005A3B3B">
        <w:rPr>
          <w:rStyle w:val="Refdenotaalpie"/>
          <w:sz w:val="16"/>
          <w:szCs w:val="16"/>
        </w:rPr>
        <w:footnoteRef/>
      </w:r>
      <w:r w:rsidRPr="005A3B3B">
        <w:rPr>
          <w:sz w:val="16"/>
          <w:szCs w:val="16"/>
        </w:rPr>
        <w:t xml:space="preserve"> Fuente: </w:t>
      </w:r>
      <w:hyperlink r:id="rId12" w:history="1">
        <w:r w:rsidRPr="005A3B3B">
          <w:rPr>
            <w:rStyle w:val="Hipervnculo"/>
            <w:sz w:val="16"/>
            <w:szCs w:val="16"/>
          </w:rPr>
          <w:t>https://eur-lex.europa.eu/legal-content/ES/TXT/?uri=CELEX:32023R2485</w:t>
        </w:r>
      </w:hyperlink>
    </w:p>
  </w:footnote>
  <w:footnote w:id="13">
    <w:p w14:paraId="43116630" w14:textId="3C4D4C7D" w:rsidR="00960963" w:rsidRPr="00167192" w:rsidRDefault="00960963">
      <w:pPr>
        <w:pStyle w:val="Textonotapie"/>
        <w:rPr>
          <w:sz w:val="16"/>
          <w:szCs w:val="16"/>
        </w:rPr>
      </w:pPr>
      <w:r w:rsidRPr="00167192">
        <w:rPr>
          <w:rStyle w:val="Refdenotaalpie"/>
          <w:sz w:val="16"/>
          <w:szCs w:val="16"/>
        </w:rPr>
        <w:footnoteRef/>
      </w:r>
      <w:r w:rsidRPr="00167192">
        <w:rPr>
          <w:sz w:val="16"/>
          <w:szCs w:val="16"/>
        </w:rPr>
        <w:t xml:space="preserve"> Fuente: </w:t>
      </w:r>
      <w:hyperlink r:id="rId13" w:history="1">
        <w:r w:rsidRPr="00167192">
          <w:rPr>
            <w:rStyle w:val="Hipervnculo"/>
            <w:sz w:val="16"/>
            <w:szCs w:val="16"/>
          </w:rPr>
          <w:t>https://eur-lex.europa.eu/legal-content/ES/TXT/?uri=OJ:L_202400622</w:t>
        </w:r>
      </w:hyperlink>
    </w:p>
  </w:footnote>
  <w:footnote w:id="14">
    <w:p w14:paraId="613FF39A" w14:textId="342B8D47" w:rsidR="00960963" w:rsidRPr="00167192" w:rsidRDefault="00960963">
      <w:pPr>
        <w:pStyle w:val="Textonotapie"/>
        <w:rPr>
          <w:sz w:val="16"/>
          <w:szCs w:val="16"/>
        </w:rPr>
      </w:pPr>
      <w:r w:rsidRPr="00167192">
        <w:rPr>
          <w:rStyle w:val="Refdenotaalpie"/>
          <w:sz w:val="16"/>
          <w:szCs w:val="16"/>
        </w:rPr>
        <w:footnoteRef/>
      </w:r>
      <w:r w:rsidRPr="00167192">
        <w:rPr>
          <w:sz w:val="16"/>
          <w:szCs w:val="16"/>
        </w:rPr>
        <w:t xml:space="preserve"> Fuente: </w:t>
      </w:r>
      <w:hyperlink r:id="rId14" w:history="1">
        <w:r w:rsidRPr="00167192">
          <w:rPr>
            <w:rStyle w:val="Hipervnculo"/>
            <w:sz w:val="16"/>
            <w:szCs w:val="16"/>
          </w:rPr>
          <w:t>https://eur-lex.europa.eu/legal-content/ES/TXT/?uri=CELEX%3A32023R2405</w:t>
        </w:r>
      </w:hyperlink>
    </w:p>
  </w:footnote>
  <w:footnote w:id="15">
    <w:p w14:paraId="09B6C422" w14:textId="444E6107" w:rsidR="00167192" w:rsidRPr="00167192" w:rsidRDefault="00167192">
      <w:pPr>
        <w:pStyle w:val="Textonotapie"/>
        <w:rPr>
          <w:sz w:val="16"/>
          <w:szCs w:val="16"/>
        </w:rPr>
      </w:pPr>
      <w:r w:rsidRPr="00167192">
        <w:rPr>
          <w:rStyle w:val="Refdenotaalpie"/>
          <w:sz w:val="16"/>
          <w:szCs w:val="16"/>
        </w:rPr>
        <w:footnoteRef/>
      </w:r>
      <w:r w:rsidRPr="00167192">
        <w:rPr>
          <w:sz w:val="16"/>
          <w:szCs w:val="16"/>
        </w:rPr>
        <w:t xml:space="preserve"> Fuente: </w:t>
      </w:r>
      <w:hyperlink r:id="rId15" w:history="1">
        <w:r w:rsidRPr="00167192">
          <w:rPr>
            <w:rStyle w:val="Hipervnculo"/>
            <w:sz w:val="16"/>
            <w:szCs w:val="16"/>
          </w:rPr>
          <w:t>https://eur-lex.europa.eu/legal-content/ES/TXT/?uri=CELEX:32023D2440</w:t>
        </w:r>
      </w:hyperlink>
    </w:p>
  </w:footnote>
  <w:footnote w:id="16">
    <w:p w14:paraId="5C1260AA" w14:textId="7A492120" w:rsidR="00DD2051" w:rsidRPr="00DD2051" w:rsidRDefault="00DD2051">
      <w:pPr>
        <w:pStyle w:val="Textonotapie"/>
        <w:rPr>
          <w:sz w:val="16"/>
          <w:szCs w:val="16"/>
        </w:rPr>
      </w:pPr>
      <w:r w:rsidRPr="00DD2051">
        <w:rPr>
          <w:rStyle w:val="Refdenotaalpie"/>
          <w:sz w:val="16"/>
          <w:szCs w:val="16"/>
        </w:rPr>
        <w:footnoteRef/>
      </w:r>
      <w:r w:rsidRPr="00DD2051">
        <w:rPr>
          <w:sz w:val="16"/>
          <w:szCs w:val="16"/>
        </w:rPr>
        <w:t xml:space="preserve"> Fuente: </w:t>
      </w:r>
      <w:hyperlink r:id="rId16" w:history="1">
        <w:r w:rsidRPr="00DD2051">
          <w:rPr>
            <w:rStyle w:val="Hipervnculo"/>
            <w:sz w:val="16"/>
            <w:szCs w:val="16"/>
          </w:rPr>
          <w:t>https://www.boe.es/buscar/doc.php?id=DOUE-L-2024-81420</w:t>
        </w:r>
      </w:hyperlink>
    </w:p>
  </w:footnote>
  <w:footnote w:id="17">
    <w:p w14:paraId="771A156E" w14:textId="37ABF9AD" w:rsidR="00167192" w:rsidRPr="00E76548" w:rsidRDefault="00167192">
      <w:pPr>
        <w:pStyle w:val="Textonotapie"/>
        <w:rPr>
          <w:sz w:val="16"/>
          <w:szCs w:val="16"/>
        </w:rPr>
      </w:pPr>
      <w:r w:rsidRPr="00E76548">
        <w:rPr>
          <w:rStyle w:val="Refdenotaalpie"/>
          <w:sz w:val="16"/>
          <w:szCs w:val="16"/>
        </w:rPr>
        <w:footnoteRef/>
      </w:r>
      <w:r w:rsidRPr="00E76548">
        <w:rPr>
          <w:sz w:val="16"/>
          <w:szCs w:val="16"/>
        </w:rPr>
        <w:t xml:space="preserve"> Fuente: </w:t>
      </w:r>
      <w:hyperlink r:id="rId17" w:history="1">
        <w:r w:rsidRPr="00E76548">
          <w:rPr>
            <w:rStyle w:val="Hipervnculo"/>
            <w:sz w:val="16"/>
            <w:szCs w:val="16"/>
          </w:rPr>
          <w:t>https://eur-lex.europa.eu/legal-content/ES/TXT/?uri=OJ:L_202401610</w:t>
        </w:r>
      </w:hyperlink>
    </w:p>
  </w:footnote>
  <w:footnote w:id="18">
    <w:p w14:paraId="04BC74AB" w14:textId="0D039CCE" w:rsidR="00167192" w:rsidRPr="00E76548" w:rsidRDefault="00167192">
      <w:pPr>
        <w:pStyle w:val="Textonotapie"/>
        <w:rPr>
          <w:sz w:val="16"/>
          <w:szCs w:val="16"/>
        </w:rPr>
      </w:pPr>
      <w:r w:rsidRPr="00E76548">
        <w:rPr>
          <w:rStyle w:val="Refdenotaalpie"/>
          <w:sz w:val="16"/>
          <w:szCs w:val="16"/>
        </w:rPr>
        <w:footnoteRef/>
      </w:r>
      <w:r w:rsidRPr="00E76548">
        <w:rPr>
          <w:sz w:val="16"/>
          <w:szCs w:val="16"/>
        </w:rPr>
        <w:t xml:space="preserve"> Fuente: </w:t>
      </w:r>
      <w:hyperlink r:id="rId18" w:history="1">
        <w:r w:rsidRPr="00E76548">
          <w:rPr>
            <w:rStyle w:val="Hipervnculo"/>
            <w:sz w:val="16"/>
            <w:szCs w:val="16"/>
          </w:rPr>
          <w:t>https://eur-lex.europa.eu/legal-content/ES/TXT/?uri=CELEX:32024R1127</w:t>
        </w:r>
      </w:hyperlink>
    </w:p>
  </w:footnote>
  <w:footnote w:id="19">
    <w:p w14:paraId="0F54382C" w14:textId="62E50C2E" w:rsidR="00690222" w:rsidRPr="00690222" w:rsidRDefault="00690222">
      <w:pPr>
        <w:pStyle w:val="Textonotapie"/>
        <w:rPr>
          <w:sz w:val="16"/>
          <w:szCs w:val="16"/>
        </w:rPr>
      </w:pPr>
      <w:r w:rsidRPr="00690222">
        <w:rPr>
          <w:rStyle w:val="Refdenotaalpie"/>
          <w:sz w:val="16"/>
          <w:szCs w:val="16"/>
        </w:rPr>
        <w:footnoteRef/>
      </w:r>
      <w:r w:rsidRPr="00690222">
        <w:rPr>
          <w:sz w:val="16"/>
          <w:szCs w:val="16"/>
        </w:rPr>
        <w:t xml:space="preserve"> Fuente: </w:t>
      </w:r>
      <w:hyperlink r:id="rId19" w:history="1">
        <w:r w:rsidRPr="00690222">
          <w:rPr>
            <w:rStyle w:val="Hipervnculo"/>
            <w:sz w:val="16"/>
            <w:szCs w:val="16"/>
          </w:rPr>
          <w:t>http://data.europa.eu/eli/dec_impl/2024/2165/oj</w:t>
        </w:r>
      </w:hyperlink>
    </w:p>
  </w:footnote>
  <w:footnote w:id="20">
    <w:p w14:paraId="5F777CEC" w14:textId="051C2E53" w:rsidR="00C6068F" w:rsidRPr="00E76548" w:rsidRDefault="00C6068F">
      <w:pPr>
        <w:pStyle w:val="Textonotapie"/>
        <w:rPr>
          <w:sz w:val="16"/>
          <w:szCs w:val="16"/>
        </w:rPr>
      </w:pPr>
      <w:r w:rsidRPr="00E76548">
        <w:rPr>
          <w:rStyle w:val="Refdenotaalpie"/>
          <w:sz w:val="16"/>
          <w:szCs w:val="16"/>
        </w:rPr>
        <w:footnoteRef/>
      </w:r>
      <w:r w:rsidRPr="00E76548">
        <w:rPr>
          <w:sz w:val="16"/>
          <w:szCs w:val="16"/>
        </w:rPr>
        <w:t xml:space="preserve"> Fuente: </w:t>
      </w:r>
      <w:hyperlink r:id="rId20" w:history="1">
        <w:r w:rsidRPr="00E76548">
          <w:rPr>
            <w:rStyle w:val="Hipervnculo"/>
            <w:sz w:val="16"/>
            <w:szCs w:val="16"/>
          </w:rPr>
          <w:t>https://eur-lex.europa.eu/legal-content/ES/TXT/?uri=CELEX:32023R2485</w:t>
        </w:r>
      </w:hyperlink>
    </w:p>
  </w:footnote>
  <w:footnote w:id="21">
    <w:p w14:paraId="0C7B5FE6" w14:textId="6B6AD421" w:rsidR="0058397D" w:rsidRPr="0058397D" w:rsidRDefault="0058397D">
      <w:pPr>
        <w:pStyle w:val="Textonotapie"/>
        <w:rPr>
          <w:sz w:val="16"/>
          <w:szCs w:val="16"/>
        </w:rPr>
      </w:pPr>
      <w:r w:rsidRPr="0058397D">
        <w:rPr>
          <w:rStyle w:val="Refdenotaalpie"/>
          <w:sz w:val="16"/>
          <w:szCs w:val="16"/>
        </w:rPr>
        <w:footnoteRef/>
      </w:r>
      <w:r w:rsidRPr="0058397D">
        <w:rPr>
          <w:sz w:val="16"/>
          <w:szCs w:val="16"/>
        </w:rPr>
        <w:t xml:space="preserve"> Fuente: </w:t>
      </w:r>
      <w:hyperlink r:id="rId21" w:history="1">
        <w:r w:rsidRPr="0058397D">
          <w:rPr>
            <w:rStyle w:val="Hipervnculo"/>
            <w:sz w:val="16"/>
            <w:szCs w:val="16"/>
          </w:rPr>
          <w:t>http://data.europa.eu/eli/dec/2024/2951/oj</w:t>
        </w:r>
      </w:hyperlink>
    </w:p>
  </w:footnote>
  <w:footnote w:id="22">
    <w:p w14:paraId="509851F6" w14:textId="7CE7C68B" w:rsidR="00E76548" w:rsidRPr="00E76548" w:rsidRDefault="00E76548">
      <w:pPr>
        <w:pStyle w:val="Textonotapie"/>
        <w:rPr>
          <w:sz w:val="16"/>
          <w:szCs w:val="16"/>
        </w:rPr>
      </w:pPr>
      <w:r w:rsidRPr="00E76548">
        <w:rPr>
          <w:rStyle w:val="Refdenotaalpie"/>
          <w:sz w:val="16"/>
          <w:szCs w:val="16"/>
        </w:rPr>
        <w:footnoteRef/>
      </w:r>
      <w:r w:rsidRPr="00E76548">
        <w:rPr>
          <w:sz w:val="16"/>
          <w:szCs w:val="16"/>
        </w:rPr>
        <w:t xml:space="preserve"> Fuente: </w:t>
      </w:r>
      <w:hyperlink r:id="rId22" w:history="1">
        <w:r w:rsidRPr="00E76548">
          <w:rPr>
            <w:rStyle w:val="Hipervnculo"/>
            <w:sz w:val="16"/>
            <w:szCs w:val="16"/>
          </w:rPr>
          <w:t>https://eur-lex.europa.eu/legal-content/ES/TXT/?uri=CELEX%3A32023R1805</w:t>
        </w:r>
      </w:hyperlink>
    </w:p>
  </w:footnote>
  <w:footnote w:id="23">
    <w:p w14:paraId="06CA3D0D" w14:textId="44251763" w:rsidR="00AE53A3" w:rsidRPr="00AE53A3" w:rsidRDefault="00AE53A3">
      <w:pPr>
        <w:pStyle w:val="Textonotapie"/>
        <w:rPr>
          <w:sz w:val="16"/>
          <w:szCs w:val="16"/>
        </w:rPr>
      </w:pPr>
      <w:r w:rsidRPr="00AE53A3">
        <w:rPr>
          <w:rStyle w:val="Refdenotaalpie"/>
          <w:sz w:val="16"/>
          <w:szCs w:val="16"/>
        </w:rPr>
        <w:footnoteRef/>
      </w:r>
      <w:r w:rsidRPr="00AE53A3">
        <w:rPr>
          <w:sz w:val="16"/>
          <w:szCs w:val="16"/>
        </w:rPr>
        <w:t xml:space="preserve"> Fuente: </w:t>
      </w:r>
      <w:hyperlink r:id="rId23" w:history="1">
        <w:r w:rsidRPr="00AE53A3">
          <w:rPr>
            <w:rStyle w:val="Hipervnculo"/>
            <w:sz w:val="16"/>
            <w:szCs w:val="16"/>
          </w:rPr>
          <w:t>http://data.europa.eu/eli/reg_impl/2024/2027/oj</w:t>
        </w:r>
      </w:hyperlink>
    </w:p>
  </w:footnote>
  <w:footnote w:id="24">
    <w:p w14:paraId="08264B2E" w14:textId="5DFF0ED9" w:rsidR="00AE53A3" w:rsidRDefault="00AE53A3">
      <w:pPr>
        <w:pStyle w:val="Textonotapie"/>
      </w:pPr>
      <w:r w:rsidRPr="00AE53A3">
        <w:rPr>
          <w:rStyle w:val="Refdenotaalpie"/>
          <w:sz w:val="16"/>
          <w:szCs w:val="16"/>
        </w:rPr>
        <w:footnoteRef/>
      </w:r>
      <w:r w:rsidRPr="00AE53A3">
        <w:rPr>
          <w:sz w:val="16"/>
          <w:szCs w:val="16"/>
        </w:rPr>
        <w:t xml:space="preserve"> Fuente: </w:t>
      </w:r>
      <w:hyperlink r:id="rId24" w:history="1">
        <w:r w:rsidRPr="00AE53A3">
          <w:rPr>
            <w:rStyle w:val="Hipervnculo"/>
            <w:sz w:val="16"/>
            <w:szCs w:val="16"/>
          </w:rPr>
          <w:t>http://data.europa.eu/eli/reg_impl/2024/2031/oj</w:t>
        </w:r>
      </w:hyperlink>
    </w:p>
  </w:footnote>
  <w:footnote w:id="25">
    <w:p w14:paraId="1ACBC0BF" w14:textId="4DC6D064" w:rsidR="000E7DAF" w:rsidRPr="000E7DAF" w:rsidRDefault="000E7DAF" w:rsidP="000E7DAF">
      <w:pPr>
        <w:pStyle w:val="Textonotapie"/>
        <w:jc w:val="left"/>
        <w:rPr>
          <w:sz w:val="16"/>
          <w:szCs w:val="16"/>
        </w:rPr>
      </w:pPr>
      <w:r>
        <w:rPr>
          <w:rStyle w:val="Refdenotaalpie"/>
        </w:rPr>
        <w:footnoteRef/>
      </w:r>
      <w:r>
        <w:t xml:space="preserve"> </w:t>
      </w:r>
      <w:r w:rsidRPr="000E7DAF">
        <w:rPr>
          <w:sz w:val="16"/>
          <w:szCs w:val="16"/>
        </w:rPr>
        <w:t xml:space="preserve">Fuente: </w:t>
      </w:r>
      <w:hyperlink r:id="rId25" w:history="1">
        <w:r w:rsidRPr="000E7DAF">
          <w:rPr>
            <w:rStyle w:val="Hipervnculo"/>
            <w:sz w:val="16"/>
            <w:szCs w:val="16"/>
          </w:rPr>
          <w:t>https://www.transportes.gob.es/recursos_mfom/audienciainfopublica/recursos/resolucion_exenciones_reglamento_fueleu_audiencia.pdf</w:t>
        </w:r>
      </w:hyperlink>
    </w:p>
  </w:footnote>
  <w:footnote w:id="26">
    <w:p w14:paraId="78C1C9BE" w14:textId="697E61DC" w:rsidR="00E76548" w:rsidRPr="00AE53A3" w:rsidRDefault="00E76548">
      <w:pPr>
        <w:pStyle w:val="Textonotapie"/>
        <w:rPr>
          <w:sz w:val="16"/>
          <w:szCs w:val="16"/>
        </w:rPr>
      </w:pPr>
      <w:r w:rsidRPr="00AE53A3">
        <w:rPr>
          <w:rStyle w:val="Refdenotaalpie"/>
          <w:sz w:val="16"/>
          <w:szCs w:val="16"/>
        </w:rPr>
        <w:footnoteRef/>
      </w:r>
      <w:r w:rsidRPr="00AE53A3">
        <w:rPr>
          <w:sz w:val="16"/>
          <w:szCs w:val="16"/>
        </w:rPr>
        <w:t xml:space="preserve"> Fuente: </w:t>
      </w:r>
      <w:hyperlink r:id="rId26" w:history="1">
        <w:r w:rsidRPr="00AE53A3">
          <w:rPr>
            <w:rStyle w:val="Hipervnculo"/>
            <w:sz w:val="16"/>
            <w:szCs w:val="16"/>
          </w:rPr>
          <w:t>https://eur-lex.europa.eu/legal-content/ES/TXT/?uri=CELEX:32023R2485</w:t>
        </w:r>
      </w:hyperlink>
    </w:p>
  </w:footnote>
  <w:footnote w:id="27">
    <w:p w14:paraId="5D7F633E" w14:textId="31E2844B" w:rsidR="007B2EDC" w:rsidRDefault="007B2EDC">
      <w:pPr>
        <w:pStyle w:val="Textonotapie"/>
      </w:pPr>
      <w:r w:rsidRPr="00AE53A3">
        <w:rPr>
          <w:rStyle w:val="Refdenotaalpie"/>
          <w:sz w:val="16"/>
          <w:szCs w:val="16"/>
        </w:rPr>
        <w:footnoteRef/>
      </w:r>
      <w:r w:rsidRPr="00AE53A3">
        <w:rPr>
          <w:sz w:val="16"/>
          <w:szCs w:val="16"/>
        </w:rPr>
        <w:t xml:space="preserve"> Fuente: </w:t>
      </w:r>
      <w:hyperlink r:id="rId27" w:history="1">
        <w:r w:rsidRPr="00AE53A3">
          <w:rPr>
            <w:rStyle w:val="Hipervnculo"/>
            <w:sz w:val="16"/>
            <w:szCs w:val="16"/>
          </w:rPr>
          <w:t>https://eur-lex.europa.eu/eli/reg_impl/2023/2449/spa</w:t>
        </w:r>
      </w:hyperlink>
    </w:p>
  </w:footnote>
  <w:footnote w:id="28">
    <w:p w14:paraId="52934927" w14:textId="77777777" w:rsidR="00F12FAE" w:rsidRPr="00AE53A3" w:rsidRDefault="00F12FAE" w:rsidP="00F12FAE">
      <w:pPr>
        <w:pStyle w:val="Textonotapie"/>
        <w:rPr>
          <w:sz w:val="16"/>
          <w:szCs w:val="16"/>
        </w:rPr>
      </w:pPr>
      <w:r w:rsidRPr="00AE53A3">
        <w:rPr>
          <w:rStyle w:val="Refdenotaalpie"/>
          <w:sz w:val="16"/>
          <w:szCs w:val="16"/>
        </w:rPr>
        <w:footnoteRef/>
      </w:r>
      <w:r w:rsidRPr="00AE53A3">
        <w:rPr>
          <w:sz w:val="16"/>
          <w:szCs w:val="16"/>
        </w:rPr>
        <w:t xml:space="preserve"> Fuente: </w:t>
      </w:r>
      <w:hyperlink r:id="rId28" w:history="1">
        <w:r w:rsidRPr="00AE53A3">
          <w:rPr>
            <w:rStyle w:val="Hipervnculo"/>
            <w:sz w:val="16"/>
            <w:szCs w:val="16"/>
          </w:rPr>
          <w:t>https://eur-lex.europa.eu/legal-content/ES/TXT/?uri=OJ:L_202302297</w:t>
        </w:r>
      </w:hyperlink>
    </w:p>
  </w:footnote>
  <w:footnote w:id="29">
    <w:p w14:paraId="46616850" w14:textId="41A2E5BD" w:rsidR="007B2EDC" w:rsidRPr="00F81D0E" w:rsidRDefault="007B2EDC">
      <w:pPr>
        <w:pStyle w:val="Textonotapie"/>
        <w:rPr>
          <w:sz w:val="16"/>
          <w:szCs w:val="16"/>
        </w:rPr>
      </w:pPr>
      <w:r w:rsidRPr="00F81D0E">
        <w:rPr>
          <w:rStyle w:val="Refdenotaalpie"/>
          <w:sz w:val="16"/>
          <w:szCs w:val="16"/>
        </w:rPr>
        <w:footnoteRef/>
      </w:r>
      <w:r w:rsidRPr="00F81D0E">
        <w:rPr>
          <w:sz w:val="16"/>
          <w:szCs w:val="16"/>
        </w:rPr>
        <w:t xml:space="preserve"> Fuente: </w:t>
      </w:r>
      <w:hyperlink r:id="rId29" w:history="1">
        <w:r w:rsidRPr="00F81D0E">
          <w:rPr>
            <w:rStyle w:val="Hipervnculo"/>
            <w:sz w:val="16"/>
            <w:szCs w:val="16"/>
          </w:rPr>
          <w:t>https://eur-lex.europa.eu/legal-content/ES/TXT/?uri=OJ:L_202302599</w:t>
        </w:r>
      </w:hyperlink>
    </w:p>
  </w:footnote>
  <w:footnote w:id="30">
    <w:p w14:paraId="01328EAA" w14:textId="71C6E8C6" w:rsidR="007B2EDC" w:rsidRPr="008F250B" w:rsidRDefault="007B2EDC">
      <w:pPr>
        <w:pStyle w:val="Textonotapie"/>
        <w:rPr>
          <w:sz w:val="16"/>
          <w:szCs w:val="16"/>
        </w:rPr>
      </w:pPr>
      <w:r w:rsidRPr="00F81D0E">
        <w:rPr>
          <w:rStyle w:val="Refdenotaalpie"/>
          <w:sz w:val="16"/>
          <w:szCs w:val="16"/>
        </w:rPr>
        <w:footnoteRef/>
      </w:r>
      <w:r w:rsidRPr="00F81D0E">
        <w:rPr>
          <w:sz w:val="16"/>
          <w:szCs w:val="16"/>
        </w:rPr>
        <w:t xml:space="preserve"> Fuente: </w:t>
      </w:r>
      <w:hyperlink r:id="rId30" w:history="1">
        <w:r w:rsidRPr="00F81D0E">
          <w:rPr>
            <w:rStyle w:val="Hipervnculo"/>
            <w:sz w:val="16"/>
            <w:szCs w:val="16"/>
          </w:rPr>
          <w:t>https://www.boe.es/buscar/doc.php?id=DOUE-L-2024-80156</w:t>
        </w:r>
      </w:hyperlink>
    </w:p>
  </w:footnote>
  <w:footnote w:id="31">
    <w:p w14:paraId="774BBDD1" w14:textId="77777777" w:rsidR="008F250B" w:rsidRPr="008F250B" w:rsidRDefault="008F250B" w:rsidP="008F250B">
      <w:pPr>
        <w:pStyle w:val="Textonotapie"/>
        <w:rPr>
          <w:sz w:val="16"/>
          <w:szCs w:val="16"/>
        </w:rPr>
      </w:pPr>
      <w:r w:rsidRPr="008F250B">
        <w:rPr>
          <w:rStyle w:val="Refdenotaalpie"/>
          <w:sz w:val="16"/>
          <w:szCs w:val="16"/>
        </w:rPr>
        <w:footnoteRef/>
      </w:r>
      <w:r w:rsidRPr="008F250B">
        <w:rPr>
          <w:sz w:val="16"/>
          <w:szCs w:val="16"/>
        </w:rPr>
        <w:t xml:space="preserve"> Fuente: </w:t>
      </w:r>
      <w:hyperlink r:id="rId31" w:history="1">
        <w:r w:rsidRPr="008F250B">
          <w:rPr>
            <w:rStyle w:val="Hipervnculo"/>
            <w:sz w:val="16"/>
            <w:szCs w:val="16"/>
          </w:rPr>
          <w:t>https://ec.europa.eu/info/law/better-regulation/have-your-say/initiatives/14330-Greenhouse-gas-emissions-from-offshore-ships-and-zero-rating-of-sustainable-fuels-monitoring-and-reporting-update-_en</w:t>
        </w:r>
      </w:hyperlink>
    </w:p>
    <w:p w14:paraId="2FBDEE2B" w14:textId="77777777" w:rsidR="008F250B" w:rsidRDefault="008F250B" w:rsidP="008F250B">
      <w:pPr>
        <w:pStyle w:val="Textonotapie"/>
      </w:pPr>
    </w:p>
  </w:footnote>
  <w:footnote w:id="32">
    <w:p w14:paraId="57926A94" w14:textId="2ED574EA" w:rsidR="000E7DAF" w:rsidRPr="003639D9" w:rsidRDefault="000E7DAF">
      <w:pPr>
        <w:pStyle w:val="Textonotapie"/>
        <w:rPr>
          <w:sz w:val="16"/>
          <w:szCs w:val="16"/>
        </w:rPr>
      </w:pPr>
      <w:r w:rsidRPr="000E7DAF">
        <w:rPr>
          <w:rStyle w:val="Refdenotaalpie"/>
          <w:sz w:val="16"/>
          <w:szCs w:val="16"/>
        </w:rPr>
        <w:footnoteRef/>
      </w:r>
      <w:r w:rsidRPr="000E7DAF">
        <w:rPr>
          <w:sz w:val="16"/>
          <w:szCs w:val="16"/>
        </w:rPr>
        <w:t xml:space="preserve"> Fuente: </w:t>
      </w:r>
      <w:hyperlink r:id="rId32" w:history="1">
        <w:r w:rsidRPr="000E7DAF">
          <w:rPr>
            <w:rStyle w:val="Hipervnculo"/>
            <w:sz w:val="16"/>
            <w:szCs w:val="16"/>
          </w:rPr>
          <w:t>https://www.consilium.europa.eu/es/press/press-releases/2024/11/18/maritime-safety-council-adopts-new-laws-to-support-safe-clean-and-modern-shipping-in-the-eu/</w:t>
        </w:r>
      </w:hyperlink>
    </w:p>
  </w:footnote>
  <w:footnote w:id="33">
    <w:p w14:paraId="08A9A070" w14:textId="5340415C" w:rsidR="003639D9" w:rsidRDefault="003639D9">
      <w:pPr>
        <w:pStyle w:val="Textonotapie"/>
      </w:pPr>
      <w:r w:rsidRPr="003639D9">
        <w:rPr>
          <w:rStyle w:val="Refdenotaalpie"/>
          <w:sz w:val="16"/>
          <w:szCs w:val="16"/>
        </w:rPr>
        <w:footnoteRef/>
      </w:r>
      <w:r w:rsidRPr="003639D9">
        <w:rPr>
          <w:sz w:val="16"/>
          <w:szCs w:val="16"/>
        </w:rPr>
        <w:t xml:space="preserve"> Fuente: </w:t>
      </w:r>
      <w:hyperlink r:id="rId33" w:history="1">
        <w:r w:rsidRPr="003639D9">
          <w:rPr>
            <w:rStyle w:val="Hipervnculo"/>
            <w:sz w:val="16"/>
            <w:szCs w:val="16"/>
          </w:rPr>
          <w:t>https://www.gov.uk/government/consultations/uk-ets-scope-expansion-maritime-sector</w:t>
        </w:r>
      </w:hyperlink>
    </w:p>
  </w:footnote>
  <w:footnote w:id="34">
    <w:p w14:paraId="263A7341" w14:textId="778B86B2" w:rsidR="00F03908" w:rsidRPr="00F03908" w:rsidRDefault="00F03908">
      <w:pPr>
        <w:pStyle w:val="Textonotapie"/>
        <w:rPr>
          <w:sz w:val="16"/>
          <w:szCs w:val="16"/>
        </w:rPr>
      </w:pPr>
      <w:r w:rsidRPr="00F03908">
        <w:rPr>
          <w:rStyle w:val="Refdenotaalpie"/>
          <w:sz w:val="16"/>
          <w:szCs w:val="16"/>
        </w:rPr>
        <w:footnoteRef/>
      </w:r>
      <w:r w:rsidRPr="00F03908">
        <w:rPr>
          <w:sz w:val="16"/>
          <w:szCs w:val="16"/>
        </w:rPr>
        <w:t xml:space="preserve"> Fuente: </w:t>
      </w:r>
      <w:hyperlink r:id="rId34" w:history="1">
        <w:r w:rsidRPr="00F03908">
          <w:rPr>
            <w:rStyle w:val="Hipervnculo"/>
            <w:sz w:val="16"/>
            <w:szCs w:val="16"/>
          </w:rPr>
          <w:t>https://data.europa.eu/eli/dir/2024/3101/spa</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AB05C9" w14:textId="1242685F" w:rsidR="00176D3D" w:rsidRPr="00C505EF" w:rsidRDefault="00176D3D" w:rsidP="00070147">
    <w:pPr>
      <w:pStyle w:val="Encabezado"/>
      <w:numPr>
        <w:ilvl w:val="0"/>
        <w:numId w:val="1"/>
      </w:numPr>
      <w:jc w:val="right"/>
    </w:pPr>
    <w:r w:rsidRPr="00C505EF">
      <w:rPr>
        <w:noProof/>
      </w:rPr>
      <w:drawing>
        <wp:anchor distT="0" distB="0" distL="114300" distR="114300" simplePos="0" relativeHeight="251654656" behindDoc="0" locked="0" layoutInCell="1" allowOverlap="1" wp14:anchorId="6C78E82D" wp14:editId="0C356793">
          <wp:simplePos x="0" y="0"/>
          <wp:positionH relativeFrom="margin">
            <wp:posOffset>12412345</wp:posOffset>
          </wp:positionH>
          <wp:positionV relativeFrom="paragraph">
            <wp:posOffset>-798774922</wp:posOffset>
          </wp:positionV>
          <wp:extent cx="9906000" cy="733425"/>
          <wp:effectExtent l="0" t="0" r="0" b="9525"/>
          <wp:wrapThrough wrapText="bothSides">
            <wp:wrapPolygon edited="0">
              <wp:start x="0" y="0"/>
              <wp:lineTo x="0" y="21319"/>
              <wp:lineTo x="21558" y="21319"/>
              <wp:lineTo x="21558" y="0"/>
              <wp:lineTo x="0" y="0"/>
            </wp:wrapPolygon>
          </wp:wrapThrough>
          <wp:docPr id="569460879" name="Imagen 569460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
                    <a:extLst>
                      <a:ext uri="{28A0092B-C50C-407E-A947-70E740481C1C}">
                        <a14:useLocalDpi xmlns:a14="http://schemas.microsoft.com/office/drawing/2010/main" val="0"/>
                      </a:ext>
                    </a:extLst>
                  </a:blip>
                  <a:srcRect l="-96" t="72058" b="-367"/>
                  <a:stretch/>
                </pic:blipFill>
                <pic:spPr bwMode="auto">
                  <a:xfrm>
                    <a:off x="0" y="0"/>
                    <a:ext cx="9906000" cy="7334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505EF" w:rsidRPr="00C505EF">
      <w:t>Resumen de la oferta</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C0B60F" w14:textId="0BF2E1D9" w:rsidR="00394CEA" w:rsidRPr="00C505EF" w:rsidRDefault="008E0BB0" w:rsidP="008E0BB0">
    <w:pPr>
      <w:pStyle w:val="Encabezado"/>
    </w:pPr>
    <w:r>
      <w:rPr>
        <w:noProof/>
      </w:rPr>
      <w:drawing>
        <wp:anchor distT="0" distB="0" distL="114300" distR="114300" simplePos="0" relativeHeight="251664896" behindDoc="0" locked="0" layoutInCell="1" allowOverlap="1" wp14:anchorId="74A075C5" wp14:editId="4AD2F370">
          <wp:simplePos x="0" y="0"/>
          <wp:positionH relativeFrom="rightMargin">
            <wp:posOffset>-6039115</wp:posOffset>
          </wp:positionH>
          <wp:positionV relativeFrom="paragraph">
            <wp:posOffset>-435023</wp:posOffset>
          </wp:positionV>
          <wp:extent cx="554355" cy="390525"/>
          <wp:effectExtent l="0" t="0" r="0" b="0"/>
          <wp:wrapNone/>
          <wp:docPr id="234653652" name="Gráfico 234653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60218" nam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554355" cy="39052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5720" distB="45720" distL="114300" distR="114300" simplePos="0" relativeHeight="251665920" behindDoc="0" locked="0" layoutInCell="1" allowOverlap="1" wp14:anchorId="19D1E6AF" wp14:editId="248B76A2">
              <wp:simplePos x="0" y="0"/>
              <wp:positionH relativeFrom="margin">
                <wp:posOffset>-31115</wp:posOffset>
              </wp:positionH>
              <wp:positionV relativeFrom="paragraph">
                <wp:posOffset>-300990</wp:posOffset>
              </wp:positionV>
              <wp:extent cx="5575300" cy="257175"/>
              <wp:effectExtent l="0" t="0" r="0" b="0"/>
              <wp:wrapNone/>
              <wp:docPr id="211536881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5300" cy="257175"/>
                      </a:xfrm>
                      <a:prstGeom prst="rect">
                        <a:avLst/>
                      </a:prstGeom>
                      <a:noFill/>
                      <a:ln w="9525">
                        <a:noFill/>
                        <a:miter lim="800000"/>
                        <a:headEnd/>
                        <a:tailEnd/>
                      </a:ln>
                    </wps:spPr>
                    <wps:txbx>
                      <w:txbxContent>
                        <w:p w14:paraId="7A8A6575" w14:textId="4182F684" w:rsidR="008E0BB0" w:rsidRDefault="008E0BB0" w:rsidP="008E0BB0">
                          <w:pPr>
                            <w:rPr>
                              <w:rFonts w:ascii="Averta-Light" w:hAnsi="Averta-Light"/>
                              <w:color w:val="25775E"/>
                              <w:kern w:val="2"/>
                              <w:sz w:val="16"/>
                              <w:szCs w:val="16"/>
                            </w:rPr>
                          </w:pPr>
                          <w:r>
                            <w:rPr>
                              <w:rFonts w:ascii="Averta-Light" w:hAnsi="Averta-Light"/>
                              <w:color w:val="25775E"/>
                              <w:kern w:val="2"/>
                              <w:sz w:val="16"/>
                              <w:szCs w:val="16"/>
                            </w:rPr>
                            <w:t xml:space="preserve"> </w:t>
                          </w:r>
                          <w:r w:rsidR="00DB06C6" w:rsidRPr="00DB06C6">
                            <w:rPr>
                              <w:rFonts w:ascii="Averta-Light" w:hAnsi="Averta-Light"/>
                              <w:color w:val="25775E"/>
                              <w:kern w:val="2"/>
                              <w:sz w:val="16"/>
                              <w:szCs w:val="16"/>
                            </w:rPr>
                            <w:t>Informe recopilatorio sobre normativa medioambiental de aplicación a los sectores de logística y movilidad del País Vasco</w:t>
                          </w:r>
                        </w:p>
                        <w:p w14:paraId="2A633224" w14:textId="77777777" w:rsidR="008E0BB0" w:rsidRPr="00F9326F" w:rsidRDefault="008E0BB0" w:rsidP="008E0BB0">
                          <w:pPr>
                            <w:rPr>
                              <w:rFonts w:ascii="Averta-Light" w:hAnsi="Averta-Light"/>
                              <w:color w:val="25775E"/>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9D1E6AF" id="_x0000_t202" coordsize="21600,21600" o:spt="202" path="m,l,21600r21600,l21600,xe">
              <v:stroke joinstyle="miter"/>
              <v:path gradientshapeok="t" o:connecttype="rect"/>
            </v:shapetype>
            <v:shape id="_x0000_s1029" type="#_x0000_t202" style="position:absolute;left:0;text-align:left;margin-left:-2.45pt;margin-top:-23.7pt;width:439pt;height:20.25pt;z-index:2516659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" filled="f" stroked="f">
              <v:textbox>
                <w:txbxContent>
                  <w:p w14:paraId="7A8A6575" w14:textId="4182F684" w:rsidR="008E0BB0" w:rsidRDefault="008E0BB0" w:rsidP="008E0BB0">
                    <w:pPr>
                      <w:rPr>
                        <w:rFonts w:ascii="Averta-Light" w:hAnsi="Averta-Light"/>
                        <w:color w:val="25775E"/>
                        <w:kern w:val="2"/>
                        <w:sz w:val="16"/>
                        <w:szCs w:val="16"/>
                      </w:rPr>
                    </w:pPr>
                    <w:r>
                      <w:rPr>
                        <w:rFonts w:ascii="Averta-Light" w:hAnsi="Averta-Light"/>
                        <w:color w:val="25775E"/>
                        <w:kern w:val="2"/>
                        <w:sz w:val="16"/>
                        <w:szCs w:val="16"/>
                      </w:rPr>
                      <w:t xml:space="preserve"> </w:t>
                    </w:r>
                    <w:r w:rsidR="00DB06C6" w:rsidRPr="00DB06C6">
                      <w:rPr>
                        <w:rFonts w:ascii="Averta-Light" w:hAnsi="Averta-Light"/>
                        <w:color w:val="25775E"/>
                        <w:kern w:val="2"/>
                        <w:sz w:val="16"/>
                        <w:szCs w:val="16"/>
                      </w:rPr>
                      <w:t>Informe recopilatorio sobre normativa medioambiental de aplicación a los sectores de logística y movilidad del País Vasco</w:t>
                    </w:r>
                  </w:p>
                  <w:p w14:paraId="2A633224" w14:textId="77777777" w:rsidR="008E0BB0" w:rsidRPr="00F9326F" w:rsidRDefault="008E0BB0" w:rsidP="008E0BB0">
                    <w:pPr>
                      <w:rPr>
                        <w:rFonts w:ascii="Averta-Light" w:hAnsi="Averta-Light"/>
                        <w:color w:val="25775E"/>
                        <w:sz w:val="16"/>
                        <w:szCs w:val="16"/>
                      </w:rPr>
                    </w:pPr>
                  </w:p>
                </w:txbxContent>
              </v:textbox>
              <w10:wrap anchorx="margin"/>
            </v:shape>
          </w:pict>
        </mc:Fallback>
      </mc:AlternateContent>
    </w:r>
    <w:r w:rsidR="00394CEA" w:rsidRPr="00C505EF">
      <w:rPr>
        <w:noProof/>
      </w:rPr>
      <w:drawing>
        <wp:anchor distT="0" distB="0" distL="114300" distR="114300" simplePos="0" relativeHeight="251655680" behindDoc="0" locked="0" layoutInCell="1" allowOverlap="1" wp14:anchorId="38154F44" wp14:editId="696E0927">
          <wp:simplePos x="0" y="0"/>
          <wp:positionH relativeFrom="margin">
            <wp:posOffset>12412345</wp:posOffset>
          </wp:positionH>
          <wp:positionV relativeFrom="paragraph">
            <wp:posOffset>-798774922</wp:posOffset>
          </wp:positionV>
          <wp:extent cx="9906000" cy="733425"/>
          <wp:effectExtent l="0" t="0" r="0" b="9525"/>
          <wp:wrapThrough wrapText="bothSides">
            <wp:wrapPolygon edited="0">
              <wp:start x="0" y="0"/>
              <wp:lineTo x="0" y="21319"/>
              <wp:lineTo x="21558" y="21319"/>
              <wp:lineTo x="21558" y="0"/>
              <wp:lineTo x="0" y="0"/>
            </wp:wrapPolygon>
          </wp:wrapThrough>
          <wp:docPr id="603407657" name="Imagen 603407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
                    <a:extLst>
                      <a:ext uri="{28A0092B-C50C-407E-A947-70E740481C1C}">
                        <a14:useLocalDpi xmlns:a14="http://schemas.microsoft.com/office/drawing/2010/main" val="0"/>
                      </a:ext>
                    </a:extLst>
                  </a:blip>
                  <a:srcRect l="-96" t="72058" b="-367"/>
                  <a:stretch/>
                </pic:blipFill>
                <pic:spPr bwMode="auto">
                  <a:xfrm>
                    <a:off x="0" y="0"/>
                    <a:ext cx="9906000" cy="7334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0A8D24" w14:textId="3459C764" w:rsidR="00B76F78" w:rsidRDefault="005076BB" w:rsidP="00B76F78">
    <w:pPr>
      <w:pStyle w:val="Encabezado"/>
    </w:pPr>
    <w:bookmarkStart w:id="16" w:name="_Hlk185233783"/>
    <w:r>
      <w:rPr>
        <w:noProof/>
      </w:rPr>
      <w:drawing>
        <wp:anchor distT="0" distB="0" distL="114300" distR="114300" simplePos="0" relativeHeight="251659776" behindDoc="0" locked="0" layoutInCell="1" allowOverlap="1" wp14:anchorId="67171471" wp14:editId="6301AD3E">
          <wp:simplePos x="0" y="0"/>
          <wp:positionH relativeFrom="rightMargin">
            <wp:posOffset>-6039115</wp:posOffset>
          </wp:positionH>
          <wp:positionV relativeFrom="paragraph">
            <wp:posOffset>-435023</wp:posOffset>
          </wp:positionV>
          <wp:extent cx="554355" cy="390525"/>
          <wp:effectExtent l="0" t="0" r="0" b="0"/>
          <wp:wrapNone/>
          <wp:docPr id="359161543" name="Gráfico 359161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60218" nam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554355" cy="390525"/>
                  </a:xfrm>
                  <a:prstGeom prst="rect">
                    <a:avLst/>
                  </a:prstGeom>
                </pic:spPr>
              </pic:pic>
            </a:graphicData>
          </a:graphic>
          <wp14:sizeRelH relativeFrom="margin">
            <wp14:pctWidth>0</wp14:pctWidth>
          </wp14:sizeRelH>
          <wp14:sizeRelV relativeFrom="margin">
            <wp14:pctHeight>0</wp14:pctHeight>
          </wp14:sizeRelV>
        </wp:anchor>
      </w:drawing>
    </w:r>
    <w:r w:rsidR="00F9326F">
      <w:rPr>
        <w:noProof/>
      </w:rPr>
      <mc:AlternateContent>
        <mc:Choice Requires="wps">
          <w:drawing>
            <wp:anchor distT="45720" distB="45720" distL="114300" distR="114300" simplePos="0" relativeHeight="251660800" behindDoc="0" locked="0" layoutInCell="1" allowOverlap="1" wp14:anchorId="4D531649" wp14:editId="3040B212">
              <wp:simplePos x="0" y="0"/>
              <wp:positionH relativeFrom="margin">
                <wp:posOffset>-31115</wp:posOffset>
              </wp:positionH>
              <wp:positionV relativeFrom="paragraph">
                <wp:posOffset>-300990</wp:posOffset>
              </wp:positionV>
              <wp:extent cx="5575300" cy="257175"/>
              <wp:effectExtent l="0" t="0" r="0" b="0"/>
              <wp:wrapNone/>
              <wp:docPr id="175884987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5300" cy="257175"/>
                      </a:xfrm>
                      <a:prstGeom prst="rect">
                        <a:avLst/>
                      </a:prstGeom>
                      <a:noFill/>
                      <a:ln w="9525">
                        <a:noFill/>
                        <a:miter lim="800000"/>
                        <a:headEnd/>
                        <a:tailEnd/>
                      </a:ln>
                    </wps:spPr>
                    <wps:txbx>
                      <w:txbxContent>
                        <w:p w14:paraId="04875299" w14:textId="69E1418C" w:rsidR="00F9326F" w:rsidRDefault="008B3479" w:rsidP="00F9326F">
                          <w:pPr>
                            <w:rPr>
                              <w:rFonts w:ascii="Averta-Light" w:hAnsi="Averta-Light"/>
                              <w:color w:val="25775E"/>
                              <w:kern w:val="2"/>
                              <w:sz w:val="16"/>
                              <w:szCs w:val="16"/>
                            </w:rPr>
                          </w:pPr>
                          <w:r>
                            <w:rPr>
                              <w:rFonts w:ascii="Averta-Light" w:hAnsi="Averta-Light"/>
                              <w:color w:val="25775E"/>
                              <w:kern w:val="2"/>
                              <w:sz w:val="16"/>
                              <w:szCs w:val="16"/>
                            </w:rPr>
                            <w:t xml:space="preserve"> </w:t>
                          </w:r>
                          <w:r w:rsidR="00DB06C6" w:rsidRPr="00DB06C6">
                            <w:rPr>
                              <w:rFonts w:ascii="Averta-Light" w:hAnsi="Averta-Light"/>
                              <w:color w:val="25775E"/>
                              <w:kern w:val="2"/>
                              <w:sz w:val="16"/>
                              <w:szCs w:val="16"/>
                            </w:rPr>
                            <w:t>Informe recopilatorio sobre normativa medioambiental de aplicación a los sectores de logística y movilidad del País Vasco</w:t>
                          </w:r>
                        </w:p>
                        <w:p w14:paraId="7626DC53" w14:textId="77777777" w:rsidR="005076BB" w:rsidRPr="00F9326F" w:rsidRDefault="005076BB" w:rsidP="00F9326F">
                          <w:pPr>
                            <w:rPr>
                              <w:rFonts w:ascii="Averta-Light" w:hAnsi="Averta-Light"/>
                              <w:color w:val="25775E"/>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D531649" id="_x0000_t202" coordsize="21600,21600" o:spt="202" path="m,l,21600r21600,l21600,xe">
              <v:stroke joinstyle="miter"/>
              <v:path gradientshapeok="t" o:connecttype="rect"/>
            </v:shapetype>
            <v:shape id="_x0000_s1030" type="#_x0000_t202" style="position:absolute;left:0;text-align:left;margin-left:-2.45pt;margin-top:-23.7pt;width:439pt;height:20.25pt;z-index:2516608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" filled="f" stroked="f">
              <v:textbox>
                <w:txbxContent>
                  <w:p w14:paraId="04875299" w14:textId="69E1418C" w:rsidR="00F9326F" w:rsidRDefault="008B3479" w:rsidP="00F9326F">
                    <w:pPr>
                      <w:rPr>
                        <w:rFonts w:ascii="Averta-Light" w:hAnsi="Averta-Light"/>
                        <w:color w:val="25775E"/>
                        <w:kern w:val="2"/>
                        <w:sz w:val="16"/>
                        <w:szCs w:val="16"/>
                      </w:rPr>
                    </w:pPr>
                    <w:r>
                      <w:rPr>
                        <w:rFonts w:ascii="Averta-Light" w:hAnsi="Averta-Light"/>
                        <w:color w:val="25775E"/>
                        <w:kern w:val="2"/>
                        <w:sz w:val="16"/>
                        <w:szCs w:val="16"/>
                      </w:rPr>
                      <w:t xml:space="preserve"> </w:t>
                    </w:r>
                    <w:r w:rsidR="00DB06C6" w:rsidRPr="00DB06C6">
                      <w:rPr>
                        <w:rFonts w:ascii="Averta-Light" w:hAnsi="Averta-Light"/>
                        <w:color w:val="25775E"/>
                        <w:kern w:val="2"/>
                        <w:sz w:val="16"/>
                        <w:szCs w:val="16"/>
                      </w:rPr>
                      <w:t>Informe recopilatorio sobre normativa medioambiental de aplicación a los sectores de logística y movilidad del País Vasco</w:t>
                    </w:r>
                  </w:p>
                  <w:p w14:paraId="7626DC53" w14:textId="77777777" w:rsidR="005076BB" w:rsidRPr="00F9326F" w:rsidRDefault="005076BB" w:rsidP="00F9326F">
                    <w:pPr>
                      <w:rPr>
                        <w:rFonts w:ascii="Averta-Light" w:hAnsi="Averta-Light"/>
                        <w:color w:val="25775E"/>
                        <w:sz w:val="16"/>
                        <w:szCs w:val="16"/>
                      </w:rPr>
                    </w:pPr>
                  </w:p>
                </w:txbxContent>
              </v:textbox>
              <w10:wrap anchorx="margin"/>
            </v:shape>
          </w:pict>
        </mc:Fallback>
      </mc:AlternateContent>
    </w:r>
  </w:p>
  <w:bookmarkEnd w:id="16"/>
  <w:p w14:paraId="772920B6" w14:textId="7204CA9A" w:rsidR="000F3390" w:rsidRPr="00B76F78" w:rsidRDefault="000F3390" w:rsidP="00B76F78">
    <w:pPr>
      <w:pStyle w:val="Encabezado"/>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115863" w14:textId="62C2D452" w:rsidR="007817E4" w:rsidRPr="00C505EF" w:rsidRDefault="007817E4" w:rsidP="008E0BB0">
    <w:pPr>
      <w:pStyle w:val="Encabezado"/>
    </w:pPr>
    <w:r>
      <w:rPr>
        <w:noProof/>
      </w:rPr>
      <w:drawing>
        <wp:anchor distT="0" distB="0" distL="114300" distR="114300" simplePos="0" relativeHeight="251672064" behindDoc="0" locked="0" layoutInCell="1" allowOverlap="1" wp14:anchorId="767899A4" wp14:editId="5EA69BAA">
          <wp:simplePos x="0" y="0"/>
          <wp:positionH relativeFrom="rightMargin">
            <wp:posOffset>-9157324</wp:posOffset>
          </wp:positionH>
          <wp:positionV relativeFrom="paragraph">
            <wp:posOffset>-434975</wp:posOffset>
          </wp:positionV>
          <wp:extent cx="554355" cy="390525"/>
          <wp:effectExtent l="0" t="0" r="0" b="0"/>
          <wp:wrapNone/>
          <wp:docPr id="836391327" name="Gráfico 836391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60218" nam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554355" cy="39052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5720" distB="45720" distL="114300" distR="114300" simplePos="0" relativeHeight="251673088" behindDoc="0" locked="0" layoutInCell="1" allowOverlap="1" wp14:anchorId="3D29365B" wp14:editId="3CDDF2AF">
              <wp:simplePos x="0" y="0"/>
              <wp:positionH relativeFrom="margin">
                <wp:posOffset>-31115</wp:posOffset>
              </wp:positionH>
              <wp:positionV relativeFrom="paragraph">
                <wp:posOffset>-300990</wp:posOffset>
              </wp:positionV>
              <wp:extent cx="5575300" cy="257175"/>
              <wp:effectExtent l="0" t="0" r="0" b="0"/>
              <wp:wrapNone/>
              <wp:docPr id="29453589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5300" cy="257175"/>
                      </a:xfrm>
                      <a:prstGeom prst="rect">
                        <a:avLst/>
                      </a:prstGeom>
                      <a:noFill/>
                      <a:ln w="9525">
                        <a:noFill/>
                        <a:miter lim="800000"/>
                        <a:headEnd/>
                        <a:tailEnd/>
                      </a:ln>
                    </wps:spPr>
                    <wps:txbx>
                      <w:txbxContent>
                        <w:p w14:paraId="486C429C" w14:textId="77777777" w:rsidR="007817E4" w:rsidRDefault="007817E4" w:rsidP="008E0BB0">
                          <w:pPr>
                            <w:rPr>
                              <w:rFonts w:ascii="Averta-Light" w:hAnsi="Averta-Light"/>
                              <w:color w:val="25775E"/>
                              <w:kern w:val="2"/>
                              <w:sz w:val="16"/>
                              <w:szCs w:val="16"/>
                            </w:rPr>
                          </w:pPr>
                          <w:r>
                            <w:rPr>
                              <w:rFonts w:ascii="Averta-Light" w:hAnsi="Averta-Light"/>
                              <w:color w:val="25775E"/>
                              <w:kern w:val="2"/>
                              <w:sz w:val="16"/>
                              <w:szCs w:val="16"/>
                            </w:rPr>
                            <w:t xml:space="preserve"> </w:t>
                          </w:r>
                          <w:r w:rsidRPr="00DB06C6">
                            <w:rPr>
                              <w:rFonts w:ascii="Averta-Light" w:hAnsi="Averta-Light"/>
                              <w:color w:val="25775E"/>
                              <w:kern w:val="2"/>
                              <w:sz w:val="16"/>
                              <w:szCs w:val="16"/>
                            </w:rPr>
                            <w:t>Informe recopilatorio sobre normativa medioambiental de aplicación a los sectores de logística y movilidad del País Vasco</w:t>
                          </w:r>
                        </w:p>
                        <w:p w14:paraId="7C443A47" w14:textId="77777777" w:rsidR="007817E4" w:rsidRPr="00F9326F" w:rsidRDefault="007817E4" w:rsidP="008E0BB0">
                          <w:pPr>
                            <w:rPr>
                              <w:rFonts w:ascii="Averta-Light" w:hAnsi="Averta-Light"/>
                              <w:color w:val="25775E"/>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D29365B" id="_x0000_t202" coordsize="21600,21600" o:spt="202" path="m,l,21600r21600,l21600,xe">
              <v:stroke joinstyle="miter"/>
              <v:path gradientshapeok="t" o:connecttype="rect"/>
            </v:shapetype>
            <v:shape id="_x0000_s1031" type="#_x0000_t202" style="position:absolute;left:0;text-align:left;margin-left:-2.45pt;margin-top:-23.7pt;width:439pt;height:20.25pt;z-index:2516730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" filled="f" stroked="f">
              <v:textbox>
                <w:txbxContent>
                  <w:p w14:paraId="486C429C" w14:textId="77777777" w:rsidR="007817E4" w:rsidRDefault="007817E4" w:rsidP="008E0BB0">
                    <w:pPr>
                      <w:rPr>
                        <w:rFonts w:ascii="Averta-Light" w:hAnsi="Averta-Light"/>
                        <w:color w:val="25775E"/>
                        <w:kern w:val="2"/>
                        <w:sz w:val="16"/>
                        <w:szCs w:val="16"/>
                      </w:rPr>
                    </w:pPr>
                    <w:r>
                      <w:rPr>
                        <w:rFonts w:ascii="Averta-Light" w:hAnsi="Averta-Light"/>
                        <w:color w:val="25775E"/>
                        <w:kern w:val="2"/>
                        <w:sz w:val="16"/>
                        <w:szCs w:val="16"/>
                      </w:rPr>
                      <w:t xml:space="preserve"> </w:t>
                    </w:r>
                    <w:r w:rsidRPr="00DB06C6">
                      <w:rPr>
                        <w:rFonts w:ascii="Averta-Light" w:hAnsi="Averta-Light"/>
                        <w:color w:val="25775E"/>
                        <w:kern w:val="2"/>
                        <w:sz w:val="16"/>
                        <w:szCs w:val="16"/>
                      </w:rPr>
                      <w:t>Informe recopilatorio sobre normativa medioambiental de aplicación a los sectores de logística y movilidad del País Vasco</w:t>
                    </w:r>
                  </w:p>
                  <w:p w14:paraId="7C443A47" w14:textId="77777777" w:rsidR="007817E4" w:rsidRPr="00F9326F" w:rsidRDefault="007817E4" w:rsidP="008E0BB0">
                    <w:pPr>
                      <w:rPr>
                        <w:rFonts w:ascii="Averta-Light" w:hAnsi="Averta-Light"/>
                        <w:color w:val="25775E"/>
                        <w:sz w:val="16"/>
                        <w:szCs w:val="16"/>
                      </w:rPr>
                    </w:pPr>
                  </w:p>
                </w:txbxContent>
              </v:textbox>
              <w10:wrap anchorx="margin"/>
            </v:shape>
          </w:pict>
        </mc:Fallback>
      </mc:AlternateContent>
    </w:r>
    <w:r w:rsidRPr="00C505EF">
      <w:rPr>
        <w:noProof/>
      </w:rPr>
      <w:drawing>
        <wp:anchor distT="0" distB="0" distL="114300" distR="114300" simplePos="0" relativeHeight="251671040" behindDoc="0" locked="0" layoutInCell="1" allowOverlap="1" wp14:anchorId="1EA09908" wp14:editId="121B81AE">
          <wp:simplePos x="0" y="0"/>
          <wp:positionH relativeFrom="margin">
            <wp:posOffset>12412345</wp:posOffset>
          </wp:positionH>
          <wp:positionV relativeFrom="paragraph">
            <wp:posOffset>-798774922</wp:posOffset>
          </wp:positionV>
          <wp:extent cx="9906000" cy="733425"/>
          <wp:effectExtent l="0" t="0" r="0" b="9525"/>
          <wp:wrapThrough wrapText="bothSides">
            <wp:wrapPolygon edited="0">
              <wp:start x="0" y="0"/>
              <wp:lineTo x="0" y="21319"/>
              <wp:lineTo x="21558" y="21319"/>
              <wp:lineTo x="21558" y="0"/>
              <wp:lineTo x="0" y="0"/>
            </wp:wrapPolygon>
          </wp:wrapThrough>
          <wp:docPr id="860191898" name="Imagen 860191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
                    <a:extLst>
                      <a:ext uri="{28A0092B-C50C-407E-A947-70E740481C1C}">
                        <a14:useLocalDpi xmlns:a14="http://schemas.microsoft.com/office/drawing/2010/main" val="0"/>
                      </a:ext>
                    </a:extLst>
                  </a:blip>
                  <a:srcRect l="-96" t="72058" b="-367"/>
                  <a:stretch/>
                </pic:blipFill>
                <pic:spPr bwMode="auto">
                  <a:xfrm>
                    <a:off x="0" y="0"/>
                    <a:ext cx="9906000" cy="7334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B0909C" w14:textId="77777777" w:rsidR="0089303E" w:rsidRDefault="0089303E" w:rsidP="00B76F78">
    <w:pPr>
      <w:pStyle w:val="Encabezado"/>
    </w:pPr>
    <w:r>
      <w:rPr>
        <w:noProof/>
      </w:rPr>
      <w:drawing>
        <wp:anchor distT="0" distB="0" distL="114300" distR="114300" simplePos="0" relativeHeight="251667968" behindDoc="0" locked="0" layoutInCell="1" allowOverlap="1" wp14:anchorId="11E44694" wp14:editId="68DCDA1F">
          <wp:simplePos x="0" y="0"/>
          <wp:positionH relativeFrom="rightMargin">
            <wp:posOffset>-9157364</wp:posOffset>
          </wp:positionH>
          <wp:positionV relativeFrom="paragraph">
            <wp:posOffset>-434975</wp:posOffset>
          </wp:positionV>
          <wp:extent cx="554355" cy="390525"/>
          <wp:effectExtent l="0" t="0" r="0" b="0"/>
          <wp:wrapNone/>
          <wp:docPr id="1164036156" name="Gráfico 1164036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60218" nam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554355" cy="39052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5720" distB="45720" distL="114300" distR="114300" simplePos="0" relativeHeight="251668992" behindDoc="0" locked="0" layoutInCell="1" allowOverlap="1" wp14:anchorId="7344615B" wp14:editId="2157CCEE">
              <wp:simplePos x="0" y="0"/>
              <wp:positionH relativeFrom="margin">
                <wp:posOffset>-31115</wp:posOffset>
              </wp:positionH>
              <wp:positionV relativeFrom="paragraph">
                <wp:posOffset>-300990</wp:posOffset>
              </wp:positionV>
              <wp:extent cx="5575300" cy="257175"/>
              <wp:effectExtent l="0" t="0" r="0" b="0"/>
              <wp:wrapNone/>
              <wp:docPr id="113424936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5300" cy="257175"/>
                      </a:xfrm>
                      <a:prstGeom prst="rect">
                        <a:avLst/>
                      </a:prstGeom>
                      <a:noFill/>
                      <a:ln w="9525">
                        <a:noFill/>
                        <a:miter lim="800000"/>
                        <a:headEnd/>
                        <a:tailEnd/>
                      </a:ln>
                    </wps:spPr>
                    <wps:txbx>
                      <w:txbxContent>
                        <w:p w14:paraId="3A6F2020" w14:textId="041C08F5" w:rsidR="0089303E" w:rsidRDefault="0089303E" w:rsidP="00F9326F">
                          <w:pPr>
                            <w:rPr>
                              <w:rFonts w:ascii="Averta-Light" w:hAnsi="Averta-Light"/>
                              <w:color w:val="25775E"/>
                              <w:kern w:val="2"/>
                              <w:sz w:val="16"/>
                              <w:szCs w:val="16"/>
                            </w:rPr>
                          </w:pPr>
                          <w:r>
                            <w:rPr>
                              <w:rFonts w:ascii="Averta-Light" w:hAnsi="Averta-Light"/>
                              <w:color w:val="25775E"/>
                              <w:kern w:val="2"/>
                              <w:sz w:val="16"/>
                              <w:szCs w:val="16"/>
                            </w:rPr>
                            <w:t xml:space="preserve"> </w:t>
                          </w:r>
                          <w:r w:rsidR="00DB06C6" w:rsidRPr="00DB06C6">
                            <w:rPr>
                              <w:rFonts w:ascii="Averta-Light" w:hAnsi="Averta-Light"/>
                              <w:color w:val="25775E"/>
                              <w:kern w:val="2"/>
                              <w:sz w:val="16"/>
                              <w:szCs w:val="16"/>
                            </w:rPr>
                            <w:t>Informe recopilatorio sobre normativa medioambiental de aplicación a los sectores de logística y movilidad del País Vasco</w:t>
                          </w:r>
                        </w:p>
                        <w:p w14:paraId="5430362E" w14:textId="77777777" w:rsidR="0089303E" w:rsidRPr="00F9326F" w:rsidRDefault="0089303E" w:rsidP="00F9326F">
                          <w:pPr>
                            <w:rPr>
                              <w:rFonts w:ascii="Averta-Light" w:hAnsi="Averta-Light"/>
                              <w:color w:val="25775E"/>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344615B" id="_x0000_t202" coordsize="21600,21600" o:spt="202" path="m,l,21600r21600,l21600,xe">
              <v:stroke joinstyle="miter"/>
              <v:path gradientshapeok="t" o:connecttype="rect"/>
            </v:shapetype>
            <v:shape id="_x0000_s1032" type="#_x0000_t202" style="position:absolute;left:0;text-align:left;margin-left:-2.45pt;margin-top:-23.7pt;width:439pt;height:20.25pt;z-index:2516689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" filled="f" stroked="f">
              <v:textbox>
                <w:txbxContent>
                  <w:p w14:paraId="3A6F2020" w14:textId="041C08F5" w:rsidR="0089303E" w:rsidRDefault="0089303E" w:rsidP="00F9326F">
                    <w:pPr>
                      <w:rPr>
                        <w:rFonts w:ascii="Averta-Light" w:hAnsi="Averta-Light"/>
                        <w:color w:val="25775E"/>
                        <w:kern w:val="2"/>
                        <w:sz w:val="16"/>
                        <w:szCs w:val="16"/>
                      </w:rPr>
                    </w:pPr>
                    <w:r>
                      <w:rPr>
                        <w:rFonts w:ascii="Averta-Light" w:hAnsi="Averta-Light"/>
                        <w:color w:val="25775E"/>
                        <w:kern w:val="2"/>
                        <w:sz w:val="16"/>
                        <w:szCs w:val="16"/>
                      </w:rPr>
                      <w:t xml:space="preserve"> </w:t>
                    </w:r>
                    <w:r w:rsidR="00DB06C6" w:rsidRPr="00DB06C6">
                      <w:rPr>
                        <w:rFonts w:ascii="Averta-Light" w:hAnsi="Averta-Light"/>
                        <w:color w:val="25775E"/>
                        <w:kern w:val="2"/>
                        <w:sz w:val="16"/>
                        <w:szCs w:val="16"/>
                      </w:rPr>
                      <w:t>Informe recopilatorio sobre normativa medioambiental de aplicación a los sectores de logística y movilidad del País Vasco</w:t>
                    </w:r>
                  </w:p>
                  <w:p w14:paraId="5430362E" w14:textId="77777777" w:rsidR="0089303E" w:rsidRPr="00F9326F" w:rsidRDefault="0089303E" w:rsidP="00F9326F">
                    <w:pPr>
                      <w:rPr>
                        <w:rFonts w:ascii="Averta-Light" w:hAnsi="Averta-Light"/>
                        <w:color w:val="25775E"/>
                        <w:sz w:val="16"/>
                        <w:szCs w:val="16"/>
                      </w:rPr>
                    </w:pPr>
                  </w:p>
                </w:txbxContent>
              </v:textbox>
              <w10:wrap anchorx="margin"/>
            </v:shape>
          </w:pict>
        </mc:Fallback>
      </mc:AlternateContent>
    </w:r>
  </w:p>
  <w:p w14:paraId="65A8A58F" w14:textId="77777777" w:rsidR="0089303E" w:rsidRPr="00B76F78" w:rsidRDefault="0089303E" w:rsidP="00B76F78">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98F5CC8B"/>
    <w:multiLevelType w:val="hybridMultilevel"/>
    <w:tmpl w:val="D016840E"/>
    <w:lvl w:ilvl="0" w:tplc="77F0CE82">
      <w:start w:val="1"/>
      <w:numFmt w:val="lowerLetter"/>
      <w:pStyle w:val="Subtitulo4"/>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877372"/>
    <w:multiLevelType w:val="hybridMultilevel"/>
    <w:tmpl w:val="4CE0A644"/>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01652AA2"/>
    <w:multiLevelType w:val="hybridMultilevel"/>
    <w:tmpl w:val="9776350C"/>
    <w:lvl w:ilvl="0" w:tplc="29284AC8">
      <w:start w:val="1"/>
      <w:numFmt w:val="bullet"/>
      <w:lvlText w:val=""/>
      <w:lvlJc w:val="left"/>
      <w:pPr>
        <w:ind w:left="720" w:hanging="360"/>
      </w:pPr>
      <w:rPr>
        <w:rFonts w:ascii="Wingdings" w:hAnsi="Wingdings" w:hint="default"/>
        <w:color w:val="auto"/>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15:restartNumberingAfterBreak="0">
    <w:nsid w:val="03533367"/>
    <w:multiLevelType w:val="hybridMultilevel"/>
    <w:tmpl w:val="823840C4"/>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15:restartNumberingAfterBreak="0">
    <w:nsid w:val="039E77D4"/>
    <w:multiLevelType w:val="hybridMultilevel"/>
    <w:tmpl w:val="ABD8EF42"/>
    <w:lvl w:ilvl="0" w:tplc="29284AC8">
      <w:start w:val="1"/>
      <w:numFmt w:val="bullet"/>
      <w:lvlText w:val=""/>
      <w:lvlJc w:val="left"/>
      <w:pPr>
        <w:ind w:left="720" w:hanging="360"/>
      </w:pPr>
      <w:rPr>
        <w:rFonts w:ascii="Wingdings" w:hAnsi="Wing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41B33F7"/>
    <w:multiLevelType w:val="hybridMultilevel"/>
    <w:tmpl w:val="A6603B36"/>
    <w:lvl w:ilvl="0" w:tplc="29284AC8">
      <w:start w:val="1"/>
      <w:numFmt w:val="bullet"/>
      <w:lvlText w:val=""/>
      <w:lvlJc w:val="left"/>
      <w:pPr>
        <w:ind w:left="720" w:hanging="360"/>
      </w:pPr>
      <w:rPr>
        <w:rFonts w:ascii="Wingdings" w:hAnsi="Wingdings" w:hint="default"/>
        <w:color w:val="auto"/>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15:restartNumberingAfterBreak="0">
    <w:nsid w:val="06594196"/>
    <w:multiLevelType w:val="hybridMultilevel"/>
    <w:tmpl w:val="A54272F8"/>
    <w:lvl w:ilvl="0" w:tplc="0C0A000B">
      <w:start w:val="1"/>
      <w:numFmt w:val="bullet"/>
      <w:lvlText w:val=""/>
      <w:lvlJc w:val="left"/>
      <w:pPr>
        <w:ind w:left="720" w:hanging="360"/>
      </w:pPr>
      <w:rPr>
        <w:rFonts w:ascii="Wingdings" w:hAnsi="Wingdings"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15:restartNumberingAfterBreak="0">
    <w:nsid w:val="071E3D14"/>
    <w:multiLevelType w:val="hybridMultilevel"/>
    <w:tmpl w:val="F336E6F8"/>
    <w:lvl w:ilvl="0" w:tplc="29284AC8">
      <w:start w:val="1"/>
      <w:numFmt w:val="bullet"/>
      <w:lvlText w:val=""/>
      <w:lvlJc w:val="left"/>
      <w:pPr>
        <w:ind w:left="720" w:hanging="360"/>
      </w:pPr>
      <w:rPr>
        <w:rFonts w:ascii="Wingdings" w:hAnsi="Wingdings" w:hint="default"/>
        <w:color w:val="auto"/>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 w15:restartNumberingAfterBreak="0">
    <w:nsid w:val="0D760C07"/>
    <w:multiLevelType w:val="hybridMultilevel"/>
    <w:tmpl w:val="1718754C"/>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15:restartNumberingAfterBreak="0">
    <w:nsid w:val="0DAB7FC9"/>
    <w:multiLevelType w:val="multilevel"/>
    <w:tmpl w:val="C10A56F4"/>
    <w:lvl w:ilvl="0">
      <w:start w:val="1"/>
      <w:numFmt w:val="upperRoman"/>
      <w:pStyle w:val="Chapter"/>
      <w:lvlText w:val="%1."/>
      <w:lvlJc w:val="center"/>
      <w:pPr>
        <w:tabs>
          <w:tab w:val="num" w:pos="648"/>
        </w:tabs>
        <w:ind w:left="0" w:firstLine="288"/>
      </w:pPr>
      <w:rPr>
        <w:b/>
        <w:i w:val="0"/>
      </w:rPr>
    </w:lvl>
    <w:lvl w:ilvl="1">
      <w:start w:val="1"/>
      <w:numFmt w:val="decimal"/>
      <w:lvlText w:val="4.%2."/>
      <w:lvlJc w:val="left"/>
      <w:pPr>
        <w:tabs>
          <w:tab w:val="num" w:pos="1080"/>
        </w:tabs>
        <w:ind w:left="1080" w:hanging="720"/>
      </w:pPr>
      <w:rPr>
        <w:rFonts w:hint="default"/>
      </w:rPr>
    </w:lvl>
    <w:lvl w:ilvl="2">
      <w:start w:val="1"/>
      <w:numFmt w:val="lowerLetter"/>
      <w:pStyle w:val="subpar"/>
      <w:lvlText w:val="%3."/>
      <w:lvlJc w:val="left"/>
      <w:pPr>
        <w:tabs>
          <w:tab w:val="num" w:pos="2052"/>
        </w:tabs>
        <w:ind w:left="2052" w:hanging="432"/>
      </w:pPr>
    </w:lvl>
    <w:lvl w:ilvl="3">
      <w:start w:val="1"/>
      <w:numFmt w:val="lowerRoman"/>
      <w:pStyle w:val="SubSubPar"/>
      <w:lvlText w:val="%4."/>
      <w:lvlJc w:val="right"/>
      <w:pPr>
        <w:tabs>
          <w:tab w:val="num" w:pos="1584"/>
        </w:tabs>
        <w:ind w:left="1584" w:hanging="288"/>
      </w:pPr>
    </w:lvl>
    <w:lvl w:ilvl="4">
      <w:start w:val="1"/>
      <w:numFmt w:val="none"/>
      <w:lvlText w:val=""/>
      <w:lvlJc w:val="left"/>
      <w:pPr>
        <w:tabs>
          <w:tab w:val="num" w:pos="3240"/>
        </w:tabs>
        <w:ind w:left="2880" w:firstLine="0"/>
      </w:pPr>
    </w:lvl>
    <w:lvl w:ilvl="5">
      <w:start w:val="1"/>
      <w:numFmt w:val="none"/>
      <w:lvlText w:val=""/>
      <w:lvlJc w:val="left"/>
      <w:pPr>
        <w:tabs>
          <w:tab w:val="num" w:pos="3960"/>
        </w:tabs>
        <w:ind w:left="3600" w:firstLine="0"/>
      </w:pPr>
    </w:lvl>
    <w:lvl w:ilvl="6">
      <w:start w:val="1"/>
      <w:numFmt w:val="none"/>
      <w:lvlText w:val=""/>
      <w:lvlJc w:val="left"/>
      <w:pPr>
        <w:tabs>
          <w:tab w:val="num" w:pos="4680"/>
        </w:tabs>
        <w:ind w:left="4320" w:firstLine="0"/>
      </w:pPr>
    </w:lvl>
    <w:lvl w:ilvl="7">
      <w:start w:val="1"/>
      <w:numFmt w:val="none"/>
      <w:lvlText w:val=""/>
      <w:lvlJc w:val="left"/>
      <w:pPr>
        <w:tabs>
          <w:tab w:val="num" w:pos="5400"/>
        </w:tabs>
        <w:ind w:left="5040" w:firstLine="0"/>
      </w:pPr>
    </w:lvl>
    <w:lvl w:ilvl="8">
      <w:start w:val="1"/>
      <w:numFmt w:val="none"/>
      <w:lvlText w:val=""/>
      <w:lvlJc w:val="left"/>
      <w:pPr>
        <w:tabs>
          <w:tab w:val="num" w:pos="6120"/>
        </w:tabs>
        <w:ind w:left="5760" w:firstLine="0"/>
      </w:pPr>
    </w:lvl>
  </w:abstractNum>
  <w:abstractNum w:abstractNumId="10" w15:restartNumberingAfterBreak="0">
    <w:nsid w:val="0DCE3C11"/>
    <w:multiLevelType w:val="hybridMultilevel"/>
    <w:tmpl w:val="5468A820"/>
    <w:lvl w:ilvl="0" w:tplc="49F6F2A8">
      <w:start w:val="1"/>
      <w:numFmt w:val="bullet"/>
      <w:pStyle w:val="7Bulletpoints"/>
      <w:lvlText w:val=""/>
      <w:lvlJc w:val="left"/>
      <w:pPr>
        <w:ind w:left="1074" w:hanging="360"/>
      </w:pPr>
      <w:rPr>
        <w:rFonts w:ascii="Symbol" w:hAnsi="Symbol" w:hint="default"/>
        <w:color w:val="25775E"/>
      </w:rPr>
    </w:lvl>
    <w:lvl w:ilvl="1" w:tplc="0C0A0003">
      <w:start w:val="1"/>
      <w:numFmt w:val="bullet"/>
      <w:lvlText w:val="o"/>
      <w:lvlJc w:val="left"/>
      <w:pPr>
        <w:ind w:left="1797" w:hanging="360"/>
      </w:pPr>
      <w:rPr>
        <w:rFonts w:ascii="Courier New" w:hAnsi="Courier New" w:cs="Courier New" w:hint="default"/>
      </w:rPr>
    </w:lvl>
    <w:lvl w:ilvl="2" w:tplc="0C0A0005" w:tentative="1">
      <w:start w:val="1"/>
      <w:numFmt w:val="bullet"/>
      <w:lvlText w:val=""/>
      <w:lvlJc w:val="left"/>
      <w:pPr>
        <w:ind w:left="2517" w:hanging="360"/>
      </w:pPr>
      <w:rPr>
        <w:rFonts w:ascii="Wingdings" w:hAnsi="Wingdings" w:hint="default"/>
      </w:rPr>
    </w:lvl>
    <w:lvl w:ilvl="3" w:tplc="0C0A0001" w:tentative="1">
      <w:start w:val="1"/>
      <w:numFmt w:val="bullet"/>
      <w:lvlText w:val=""/>
      <w:lvlJc w:val="left"/>
      <w:pPr>
        <w:ind w:left="3237" w:hanging="360"/>
      </w:pPr>
      <w:rPr>
        <w:rFonts w:ascii="Symbol" w:hAnsi="Symbol" w:hint="default"/>
      </w:rPr>
    </w:lvl>
    <w:lvl w:ilvl="4" w:tplc="0C0A0003" w:tentative="1">
      <w:start w:val="1"/>
      <w:numFmt w:val="bullet"/>
      <w:lvlText w:val="o"/>
      <w:lvlJc w:val="left"/>
      <w:pPr>
        <w:ind w:left="3957" w:hanging="360"/>
      </w:pPr>
      <w:rPr>
        <w:rFonts w:ascii="Courier New" w:hAnsi="Courier New" w:cs="Courier New" w:hint="default"/>
      </w:rPr>
    </w:lvl>
    <w:lvl w:ilvl="5" w:tplc="0C0A0005" w:tentative="1">
      <w:start w:val="1"/>
      <w:numFmt w:val="bullet"/>
      <w:lvlText w:val=""/>
      <w:lvlJc w:val="left"/>
      <w:pPr>
        <w:ind w:left="4677" w:hanging="360"/>
      </w:pPr>
      <w:rPr>
        <w:rFonts w:ascii="Wingdings" w:hAnsi="Wingdings" w:hint="default"/>
      </w:rPr>
    </w:lvl>
    <w:lvl w:ilvl="6" w:tplc="0C0A0001" w:tentative="1">
      <w:start w:val="1"/>
      <w:numFmt w:val="bullet"/>
      <w:lvlText w:val=""/>
      <w:lvlJc w:val="left"/>
      <w:pPr>
        <w:ind w:left="5397" w:hanging="360"/>
      </w:pPr>
      <w:rPr>
        <w:rFonts w:ascii="Symbol" w:hAnsi="Symbol" w:hint="default"/>
      </w:rPr>
    </w:lvl>
    <w:lvl w:ilvl="7" w:tplc="0C0A0003" w:tentative="1">
      <w:start w:val="1"/>
      <w:numFmt w:val="bullet"/>
      <w:lvlText w:val="o"/>
      <w:lvlJc w:val="left"/>
      <w:pPr>
        <w:ind w:left="6117" w:hanging="360"/>
      </w:pPr>
      <w:rPr>
        <w:rFonts w:ascii="Courier New" w:hAnsi="Courier New" w:cs="Courier New" w:hint="default"/>
      </w:rPr>
    </w:lvl>
    <w:lvl w:ilvl="8" w:tplc="0C0A0005" w:tentative="1">
      <w:start w:val="1"/>
      <w:numFmt w:val="bullet"/>
      <w:lvlText w:val=""/>
      <w:lvlJc w:val="left"/>
      <w:pPr>
        <w:ind w:left="6837" w:hanging="360"/>
      </w:pPr>
      <w:rPr>
        <w:rFonts w:ascii="Wingdings" w:hAnsi="Wingdings" w:hint="default"/>
      </w:rPr>
    </w:lvl>
  </w:abstractNum>
  <w:abstractNum w:abstractNumId="11" w15:restartNumberingAfterBreak="0">
    <w:nsid w:val="0DF8062E"/>
    <w:multiLevelType w:val="hybridMultilevel"/>
    <w:tmpl w:val="9636257E"/>
    <w:lvl w:ilvl="0" w:tplc="0C0A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FB42C9F"/>
    <w:multiLevelType w:val="multilevel"/>
    <w:tmpl w:val="D4E60CB8"/>
    <w:lvl w:ilvl="0">
      <w:start w:val="1"/>
      <w:numFmt w:val="decimal"/>
      <w:pStyle w:val="2Titulodeseccin"/>
      <w:lvlText w:val="%1."/>
      <w:lvlJc w:val="left"/>
      <w:pPr>
        <w:ind w:left="360" w:hanging="360"/>
      </w:pPr>
      <w:rPr>
        <w:rFonts w:hint="default"/>
      </w:rPr>
    </w:lvl>
    <w:lvl w:ilvl="1">
      <w:start w:val="1"/>
      <w:numFmt w:val="decimal"/>
      <w:pStyle w:val="3Subttulo"/>
      <w:lvlText w:val="%1.%2."/>
      <w:lvlJc w:val="left"/>
      <w:pPr>
        <w:ind w:left="792" w:hanging="432"/>
      </w:pPr>
      <w:rPr>
        <w:rFonts w:hint="default"/>
      </w:rPr>
    </w:lvl>
    <w:lvl w:ilvl="2">
      <w:start w:val="1"/>
      <w:numFmt w:val="decimal"/>
      <w:pStyle w:val="4Titulo"/>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 w15:restartNumberingAfterBreak="0">
    <w:nsid w:val="10D55CBE"/>
    <w:multiLevelType w:val="hybridMultilevel"/>
    <w:tmpl w:val="11EAA8A4"/>
    <w:lvl w:ilvl="0" w:tplc="0C0A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0D85E48"/>
    <w:multiLevelType w:val="hybridMultilevel"/>
    <w:tmpl w:val="58E81A14"/>
    <w:lvl w:ilvl="0" w:tplc="DA58DFB4">
      <w:start w:val="1"/>
      <w:numFmt w:val="upperLetter"/>
      <w:pStyle w:val="Ttulo5"/>
      <w:lvlText w:val="%1."/>
      <w:lvlJc w:val="left"/>
      <w:pPr>
        <w:ind w:left="720" w:hanging="360"/>
      </w:pPr>
      <w:rPr>
        <w:rFonts w:ascii="Calibri Light" w:hAnsi="Calibri Light" w:cs="Calibri Light" w:hint="default"/>
        <w:b/>
        <w:i w:val="0"/>
        <w:color w:val="4F6579"/>
        <w:sz w:val="72"/>
        <w:szCs w:val="56"/>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5" w15:restartNumberingAfterBreak="0">
    <w:nsid w:val="113D7A8A"/>
    <w:multiLevelType w:val="hybridMultilevel"/>
    <w:tmpl w:val="934C49D8"/>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15:restartNumberingAfterBreak="0">
    <w:nsid w:val="1158047E"/>
    <w:multiLevelType w:val="hybridMultilevel"/>
    <w:tmpl w:val="0AC0C27E"/>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15:restartNumberingAfterBreak="0">
    <w:nsid w:val="120D358E"/>
    <w:multiLevelType w:val="hybridMultilevel"/>
    <w:tmpl w:val="EDDEFFE8"/>
    <w:lvl w:ilvl="0" w:tplc="0C0A0015">
      <w:start w:val="1"/>
      <w:numFmt w:val="upp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8" w15:restartNumberingAfterBreak="0">
    <w:nsid w:val="1263198F"/>
    <w:multiLevelType w:val="hybridMultilevel"/>
    <w:tmpl w:val="77124834"/>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 w15:restartNumberingAfterBreak="0">
    <w:nsid w:val="12E6457F"/>
    <w:multiLevelType w:val="hybridMultilevel"/>
    <w:tmpl w:val="9354AAB8"/>
    <w:lvl w:ilvl="0" w:tplc="0C0A000B">
      <w:start w:val="1"/>
      <w:numFmt w:val="bullet"/>
      <w:lvlText w:val=""/>
      <w:lvlJc w:val="left"/>
      <w:pPr>
        <w:ind w:left="720" w:hanging="360"/>
      </w:pPr>
      <w:rPr>
        <w:rFonts w:ascii="Wingdings" w:hAnsi="Wingdings"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 w15:restartNumberingAfterBreak="0">
    <w:nsid w:val="14110169"/>
    <w:multiLevelType w:val="hybridMultilevel"/>
    <w:tmpl w:val="91C225E6"/>
    <w:lvl w:ilvl="0" w:tplc="0C0A000B">
      <w:start w:val="1"/>
      <w:numFmt w:val="bullet"/>
      <w:lvlText w:val=""/>
      <w:lvlJc w:val="left"/>
      <w:pPr>
        <w:ind w:left="720" w:hanging="360"/>
      </w:pPr>
      <w:rPr>
        <w:rFonts w:ascii="Wingdings" w:hAnsi="Wingdings"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15:restartNumberingAfterBreak="0">
    <w:nsid w:val="14971942"/>
    <w:multiLevelType w:val="hybridMultilevel"/>
    <w:tmpl w:val="720EE840"/>
    <w:lvl w:ilvl="0" w:tplc="0C0A000B">
      <w:start w:val="1"/>
      <w:numFmt w:val="bullet"/>
      <w:lvlText w:val=""/>
      <w:lvlJc w:val="left"/>
      <w:pPr>
        <w:ind w:left="720" w:hanging="360"/>
      </w:pPr>
      <w:rPr>
        <w:rFonts w:ascii="Wingdings" w:hAnsi="Wingdings"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15:restartNumberingAfterBreak="0">
    <w:nsid w:val="1BED77C5"/>
    <w:multiLevelType w:val="hybridMultilevel"/>
    <w:tmpl w:val="4A6A1B40"/>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 w15:restartNumberingAfterBreak="0">
    <w:nsid w:val="1F535B86"/>
    <w:multiLevelType w:val="hybridMultilevel"/>
    <w:tmpl w:val="F9667518"/>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15:restartNumberingAfterBreak="0">
    <w:nsid w:val="1F792DC0"/>
    <w:multiLevelType w:val="hybridMultilevel"/>
    <w:tmpl w:val="298A2090"/>
    <w:lvl w:ilvl="0" w:tplc="8E5CE282">
      <w:start w:val="1"/>
      <w:numFmt w:val="upperLetter"/>
      <w:pStyle w:val="Ttulo2"/>
      <w:lvlText w:val="%1."/>
      <w:lvlJc w:val="left"/>
      <w:pPr>
        <w:ind w:left="643" w:hanging="360"/>
      </w:pPr>
      <w:rPr>
        <w:rFonts w:hint="default"/>
        <w:b/>
        <w:bCs/>
        <w:color w:val="1D3C5A"/>
      </w:rPr>
    </w:lvl>
    <w:lvl w:ilvl="1" w:tplc="04090019" w:tentative="1">
      <w:start w:val="1"/>
      <w:numFmt w:val="lowerLetter"/>
      <w:lvlText w:val="%2."/>
      <w:lvlJc w:val="left"/>
      <w:pPr>
        <w:ind w:left="-5932" w:hanging="360"/>
      </w:pPr>
    </w:lvl>
    <w:lvl w:ilvl="2" w:tplc="0409001B" w:tentative="1">
      <w:start w:val="1"/>
      <w:numFmt w:val="lowerRoman"/>
      <w:lvlText w:val="%3."/>
      <w:lvlJc w:val="right"/>
      <w:pPr>
        <w:ind w:left="-5212" w:hanging="180"/>
      </w:pPr>
    </w:lvl>
    <w:lvl w:ilvl="3" w:tplc="0409000F" w:tentative="1">
      <w:start w:val="1"/>
      <w:numFmt w:val="decimal"/>
      <w:lvlText w:val="%4."/>
      <w:lvlJc w:val="left"/>
      <w:pPr>
        <w:ind w:left="-4492" w:hanging="360"/>
      </w:pPr>
    </w:lvl>
    <w:lvl w:ilvl="4" w:tplc="04090019" w:tentative="1">
      <w:start w:val="1"/>
      <w:numFmt w:val="lowerLetter"/>
      <w:lvlText w:val="%5."/>
      <w:lvlJc w:val="left"/>
      <w:pPr>
        <w:ind w:left="-3772" w:hanging="360"/>
      </w:pPr>
    </w:lvl>
    <w:lvl w:ilvl="5" w:tplc="0409001B" w:tentative="1">
      <w:start w:val="1"/>
      <w:numFmt w:val="lowerRoman"/>
      <w:lvlText w:val="%6."/>
      <w:lvlJc w:val="right"/>
      <w:pPr>
        <w:ind w:left="-3052" w:hanging="180"/>
      </w:pPr>
    </w:lvl>
    <w:lvl w:ilvl="6" w:tplc="0409000F" w:tentative="1">
      <w:start w:val="1"/>
      <w:numFmt w:val="decimal"/>
      <w:lvlText w:val="%7."/>
      <w:lvlJc w:val="left"/>
      <w:pPr>
        <w:ind w:left="-2332" w:hanging="360"/>
      </w:pPr>
    </w:lvl>
    <w:lvl w:ilvl="7" w:tplc="04090019" w:tentative="1">
      <w:start w:val="1"/>
      <w:numFmt w:val="lowerLetter"/>
      <w:lvlText w:val="%8."/>
      <w:lvlJc w:val="left"/>
      <w:pPr>
        <w:ind w:left="-1612" w:hanging="360"/>
      </w:pPr>
    </w:lvl>
    <w:lvl w:ilvl="8" w:tplc="0409001B" w:tentative="1">
      <w:start w:val="1"/>
      <w:numFmt w:val="lowerRoman"/>
      <w:lvlText w:val="%9."/>
      <w:lvlJc w:val="right"/>
      <w:pPr>
        <w:ind w:left="-892" w:hanging="180"/>
      </w:pPr>
    </w:lvl>
  </w:abstractNum>
  <w:abstractNum w:abstractNumId="25" w15:restartNumberingAfterBreak="0">
    <w:nsid w:val="20C00C19"/>
    <w:multiLevelType w:val="hybridMultilevel"/>
    <w:tmpl w:val="B4B64BFA"/>
    <w:lvl w:ilvl="0" w:tplc="29284AC8">
      <w:start w:val="1"/>
      <w:numFmt w:val="bullet"/>
      <w:lvlText w:val=""/>
      <w:lvlJc w:val="left"/>
      <w:pPr>
        <w:ind w:left="720" w:hanging="360"/>
      </w:pPr>
      <w:rPr>
        <w:rFonts w:ascii="Wingdings" w:hAnsi="Wingdings" w:hint="default"/>
        <w:color w:val="auto"/>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 w15:restartNumberingAfterBreak="0">
    <w:nsid w:val="244241A6"/>
    <w:multiLevelType w:val="hybridMultilevel"/>
    <w:tmpl w:val="11DCAB74"/>
    <w:lvl w:ilvl="0" w:tplc="33B87B5A">
      <w:start w:val="1"/>
      <w:numFmt w:val="bullet"/>
      <w:pStyle w:val="Tablebulletssmall"/>
      <w:lvlText w:val=""/>
      <w:lvlJc w:val="left"/>
      <w:pPr>
        <w:ind w:left="113" w:hanging="113"/>
      </w:pPr>
      <w:rPr>
        <w:rFonts w:ascii="Symbol" w:hAnsi="Symbol" w:hint="default"/>
        <w:color w:val="467492"/>
      </w:rPr>
    </w:lvl>
    <w:lvl w:ilvl="1" w:tplc="04070019">
      <w:start w:val="1"/>
      <w:numFmt w:val="lowerLetter"/>
      <w:lvlText w:val="%2."/>
      <w:lvlJc w:val="left"/>
      <w:pPr>
        <w:ind w:left="1156" w:hanging="360"/>
      </w:pPr>
    </w:lvl>
    <w:lvl w:ilvl="2" w:tplc="0407001B">
      <w:start w:val="1"/>
      <w:numFmt w:val="lowerRoman"/>
      <w:lvlText w:val="%3."/>
      <w:lvlJc w:val="right"/>
      <w:pPr>
        <w:ind w:left="1876" w:hanging="180"/>
      </w:pPr>
    </w:lvl>
    <w:lvl w:ilvl="3" w:tplc="0407000F" w:tentative="1">
      <w:start w:val="1"/>
      <w:numFmt w:val="decimal"/>
      <w:lvlText w:val="%4."/>
      <w:lvlJc w:val="left"/>
      <w:pPr>
        <w:ind w:left="2596" w:hanging="360"/>
      </w:pPr>
    </w:lvl>
    <w:lvl w:ilvl="4" w:tplc="04070019" w:tentative="1">
      <w:start w:val="1"/>
      <w:numFmt w:val="lowerLetter"/>
      <w:lvlText w:val="%5."/>
      <w:lvlJc w:val="left"/>
      <w:pPr>
        <w:ind w:left="3316" w:hanging="360"/>
      </w:pPr>
    </w:lvl>
    <w:lvl w:ilvl="5" w:tplc="0407001B" w:tentative="1">
      <w:start w:val="1"/>
      <w:numFmt w:val="lowerRoman"/>
      <w:lvlText w:val="%6."/>
      <w:lvlJc w:val="right"/>
      <w:pPr>
        <w:ind w:left="4036" w:hanging="180"/>
      </w:pPr>
    </w:lvl>
    <w:lvl w:ilvl="6" w:tplc="0407000F" w:tentative="1">
      <w:start w:val="1"/>
      <w:numFmt w:val="decimal"/>
      <w:lvlText w:val="%7."/>
      <w:lvlJc w:val="left"/>
      <w:pPr>
        <w:ind w:left="4756" w:hanging="360"/>
      </w:pPr>
    </w:lvl>
    <w:lvl w:ilvl="7" w:tplc="04070019" w:tentative="1">
      <w:start w:val="1"/>
      <w:numFmt w:val="lowerLetter"/>
      <w:lvlText w:val="%8."/>
      <w:lvlJc w:val="left"/>
      <w:pPr>
        <w:ind w:left="5476" w:hanging="360"/>
      </w:pPr>
    </w:lvl>
    <w:lvl w:ilvl="8" w:tplc="0407001B" w:tentative="1">
      <w:start w:val="1"/>
      <w:numFmt w:val="lowerRoman"/>
      <w:lvlText w:val="%9."/>
      <w:lvlJc w:val="right"/>
      <w:pPr>
        <w:ind w:left="6196" w:hanging="180"/>
      </w:pPr>
    </w:lvl>
  </w:abstractNum>
  <w:abstractNum w:abstractNumId="27" w15:restartNumberingAfterBreak="0">
    <w:nsid w:val="247A138F"/>
    <w:multiLevelType w:val="hybridMultilevel"/>
    <w:tmpl w:val="CF941B06"/>
    <w:lvl w:ilvl="0" w:tplc="0C0A000B">
      <w:start w:val="1"/>
      <w:numFmt w:val="bullet"/>
      <w:lvlText w:val=""/>
      <w:lvlJc w:val="left"/>
      <w:pPr>
        <w:ind w:left="720" w:hanging="360"/>
      </w:pPr>
      <w:rPr>
        <w:rFonts w:ascii="Wingdings" w:hAnsi="Wingdings"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8" w15:restartNumberingAfterBreak="0">
    <w:nsid w:val="24B727DB"/>
    <w:multiLevelType w:val="hybridMultilevel"/>
    <w:tmpl w:val="4A82E860"/>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 w15:restartNumberingAfterBreak="0">
    <w:nsid w:val="26484050"/>
    <w:multiLevelType w:val="multilevel"/>
    <w:tmpl w:val="3AD46462"/>
    <w:styleLink w:val="EstiloConvietas"/>
    <w:lvl w:ilvl="0">
      <w:start w:val="1"/>
      <w:numFmt w:val="bullet"/>
      <w:lvlText w:val=""/>
      <w:lvlJc w:val="left"/>
      <w:pPr>
        <w:tabs>
          <w:tab w:val="num" w:pos="720"/>
        </w:tabs>
        <w:ind w:left="720" w:hanging="360"/>
      </w:pPr>
      <w:rPr>
        <w:rFonts w:ascii="Symbol" w:hAnsi="Symbol"/>
        <w:sz w:val="24"/>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26C05DFA"/>
    <w:multiLevelType w:val="hybridMultilevel"/>
    <w:tmpl w:val="63D09338"/>
    <w:lvl w:ilvl="0" w:tplc="0C0A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27577614"/>
    <w:multiLevelType w:val="hybridMultilevel"/>
    <w:tmpl w:val="6F5ECEF6"/>
    <w:lvl w:ilvl="0" w:tplc="0C0A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27BC132D"/>
    <w:multiLevelType w:val="hybridMultilevel"/>
    <w:tmpl w:val="19727F4A"/>
    <w:lvl w:ilvl="0" w:tplc="AF98E592">
      <w:start w:val="1"/>
      <w:numFmt w:val="bullet"/>
      <w:pStyle w:val="parrafo1"/>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33" w15:restartNumberingAfterBreak="0">
    <w:nsid w:val="29D045E4"/>
    <w:multiLevelType w:val="multilevel"/>
    <w:tmpl w:val="B16AAE92"/>
    <w:lvl w:ilvl="0">
      <w:start w:val="1"/>
      <w:numFmt w:val="decimal"/>
      <w:lvlText w:val="%1."/>
      <w:lvlJc w:val="left"/>
      <w:pPr>
        <w:ind w:left="390" w:hanging="390"/>
      </w:pPr>
      <w:rPr>
        <w:rFonts w:hint="default"/>
        <w:b w:val="0"/>
        <w:bCs w:val="0"/>
      </w:rPr>
    </w:lvl>
    <w:lvl w:ilvl="1">
      <w:start w:val="1"/>
      <w:numFmt w:val="decimal"/>
      <w:lvlText w:val="%1.%2."/>
      <w:lvlJc w:val="left"/>
      <w:pPr>
        <w:ind w:left="390" w:hanging="390"/>
      </w:pPr>
      <w:rPr>
        <w:rFonts w:hint="default"/>
        <w:b/>
        <w:bCs/>
        <w:sz w:val="20"/>
        <w:szCs w:val="22"/>
      </w:rPr>
    </w:lvl>
    <w:lvl w:ilvl="2">
      <w:start w:val="1"/>
      <w:numFmt w:val="decimal"/>
      <w:pStyle w:val="Subtitulo5"/>
      <w:lvlText w:val="%1.%2.%3."/>
      <w:lvlJc w:val="left"/>
      <w:pPr>
        <w:ind w:left="720" w:hanging="720"/>
      </w:pPr>
      <w:rPr>
        <w:rFonts w:asciiTheme="majorHAnsi" w:hAnsiTheme="majorHAnsi" w:hint="default"/>
        <w:b/>
        <w:bCs/>
        <w:sz w:val="20"/>
        <w:szCs w:val="20"/>
      </w:rPr>
    </w:lvl>
    <w:lvl w:ilvl="3">
      <w:start w:val="1"/>
      <w:numFmt w:val="decimal"/>
      <w:lvlText w:val="%1.%2.%3.%4."/>
      <w:lvlJc w:val="left"/>
      <w:pPr>
        <w:ind w:left="720" w:hanging="720"/>
      </w:pPr>
      <w:rPr>
        <w:rFonts w:hint="default"/>
        <w:b/>
        <w:bCs/>
      </w:rPr>
    </w:lvl>
    <w:lvl w:ilvl="4">
      <w:start w:val="1"/>
      <w:numFmt w:val="decimal"/>
      <w:lvlText w:val="%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4" w15:restartNumberingAfterBreak="0">
    <w:nsid w:val="30D3463A"/>
    <w:multiLevelType w:val="hybridMultilevel"/>
    <w:tmpl w:val="D23CE9BA"/>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5" w15:restartNumberingAfterBreak="0">
    <w:nsid w:val="34D456B8"/>
    <w:multiLevelType w:val="hybridMultilevel"/>
    <w:tmpl w:val="D0EC7AF0"/>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6" w15:restartNumberingAfterBreak="0">
    <w:nsid w:val="34FD1D9A"/>
    <w:multiLevelType w:val="hybridMultilevel"/>
    <w:tmpl w:val="A0BA6F7C"/>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7" w15:restartNumberingAfterBreak="0">
    <w:nsid w:val="35525B93"/>
    <w:multiLevelType w:val="hybridMultilevel"/>
    <w:tmpl w:val="CF5EFC64"/>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8" w15:restartNumberingAfterBreak="0">
    <w:nsid w:val="374879C8"/>
    <w:multiLevelType w:val="hybridMultilevel"/>
    <w:tmpl w:val="A2EE1A4E"/>
    <w:lvl w:ilvl="0" w:tplc="0C0A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391F2BAD"/>
    <w:multiLevelType w:val="multilevel"/>
    <w:tmpl w:val="ECE82AAE"/>
    <w:styleLink w:val="Estilo2"/>
    <w:lvl w:ilvl="0">
      <w:start w:val="1"/>
      <w:numFmt w:val="decimal"/>
      <w:lvlText w:val="%1."/>
      <w:lvlJc w:val="left"/>
      <w:pPr>
        <w:ind w:left="360" w:hanging="360"/>
      </w:pPr>
      <w:rPr>
        <w:rFonts w:hint="default"/>
        <w:lang w:val="es-ES_tradnl"/>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0" w15:restartNumberingAfterBreak="0">
    <w:nsid w:val="3AA459ED"/>
    <w:multiLevelType w:val="hybridMultilevel"/>
    <w:tmpl w:val="5D947420"/>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1" w15:restartNumberingAfterBreak="0">
    <w:nsid w:val="3B0A2883"/>
    <w:multiLevelType w:val="hybridMultilevel"/>
    <w:tmpl w:val="A62465B4"/>
    <w:lvl w:ilvl="0" w:tplc="2ABA6EF4">
      <w:start w:val="1"/>
      <w:numFmt w:val="bullet"/>
      <w:pStyle w:val="BulletpointsinCV"/>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2" w15:restartNumberingAfterBreak="0">
    <w:nsid w:val="3D48373B"/>
    <w:multiLevelType w:val="hybridMultilevel"/>
    <w:tmpl w:val="24762D46"/>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3" w15:restartNumberingAfterBreak="0">
    <w:nsid w:val="40D31BC6"/>
    <w:multiLevelType w:val="hybridMultilevel"/>
    <w:tmpl w:val="C6EE3BEA"/>
    <w:lvl w:ilvl="0" w:tplc="BD6A17CA">
      <w:start w:val="1"/>
      <w:numFmt w:val="decimal"/>
      <w:pStyle w:val="Step2"/>
      <w:lvlText w:val="1.%1"/>
      <w:lvlJc w:val="left"/>
      <w:pPr>
        <w:tabs>
          <w:tab w:val="num" w:pos="360"/>
        </w:tabs>
        <w:ind w:left="360" w:hanging="360"/>
      </w:pPr>
      <w:rPr>
        <w:b/>
      </w:rPr>
    </w:lvl>
    <w:lvl w:ilvl="1" w:tplc="0C0A0019">
      <w:start w:val="1"/>
      <w:numFmt w:val="lowerLetter"/>
      <w:lvlText w:val="%2."/>
      <w:lvlJc w:val="left"/>
      <w:pPr>
        <w:ind w:left="1080" w:hanging="360"/>
      </w:pPr>
    </w:lvl>
    <w:lvl w:ilvl="2" w:tplc="0C0A001B">
      <w:start w:val="1"/>
      <w:numFmt w:val="decimal"/>
      <w:lvlText w:val="%3."/>
      <w:lvlJc w:val="left"/>
      <w:pPr>
        <w:tabs>
          <w:tab w:val="num" w:pos="2160"/>
        </w:tabs>
        <w:ind w:left="2160" w:hanging="360"/>
      </w:pPr>
    </w:lvl>
    <w:lvl w:ilvl="3" w:tplc="0C0A000F">
      <w:start w:val="1"/>
      <w:numFmt w:val="decimal"/>
      <w:lvlText w:val="%4."/>
      <w:lvlJc w:val="left"/>
      <w:pPr>
        <w:tabs>
          <w:tab w:val="num" w:pos="2880"/>
        </w:tabs>
        <w:ind w:left="2880" w:hanging="360"/>
      </w:pPr>
    </w:lvl>
    <w:lvl w:ilvl="4" w:tplc="0C0A0019">
      <w:start w:val="1"/>
      <w:numFmt w:val="decimal"/>
      <w:lvlText w:val="%5."/>
      <w:lvlJc w:val="left"/>
      <w:pPr>
        <w:tabs>
          <w:tab w:val="num" w:pos="3600"/>
        </w:tabs>
        <w:ind w:left="3600" w:hanging="360"/>
      </w:pPr>
    </w:lvl>
    <w:lvl w:ilvl="5" w:tplc="0C0A001B">
      <w:start w:val="1"/>
      <w:numFmt w:val="decimal"/>
      <w:lvlText w:val="%6."/>
      <w:lvlJc w:val="left"/>
      <w:pPr>
        <w:tabs>
          <w:tab w:val="num" w:pos="4320"/>
        </w:tabs>
        <w:ind w:left="4320" w:hanging="360"/>
      </w:pPr>
    </w:lvl>
    <w:lvl w:ilvl="6" w:tplc="0C0A000F">
      <w:start w:val="1"/>
      <w:numFmt w:val="decimal"/>
      <w:lvlText w:val="%7."/>
      <w:lvlJc w:val="left"/>
      <w:pPr>
        <w:tabs>
          <w:tab w:val="num" w:pos="5040"/>
        </w:tabs>
        <w:ind w:left="5040" w:hanging="360"/>
      </w:pPr>
    </w:lvl>
    <w:lvl w:ilvl="7" w:tplc="0C0A0019">
      <w:start w:val="1"/>
      <w:numFmt w:val="decimal"/>
      <w:lvlText w:val="%8."/>
      <w:lvlJc w:val="left"/>
      <w:pPr>
        <w:tabs>
          <w:tab w:val="num" w:pos="5760"/>
        </w:tabs>
        <w:ind w:left="5760" w:hanging="360"/>
      </w:pPr>
    </w:lvl>
    <w:lvl w:ilvl="8" w:tplc="0C0A001B">
      <w:start w:val="1"/>
      <w:numFmt w:val="decimal"/>
      <w:lvlText w:val="%9."/>
      <w:lvlJc w:val="left"/>
      <w:pPr>
        <w:tabs>
          <w:tab w:val="num" w:pos="6480"/>
        </w:tabs>
        <w:ind w:left="6480" w:hanging="360"/>
      </w:pPr>
    </w:lvl>
  </w:abstractNum>
  <w:abstractNum w:abstractNumId="44" w15:restartNumberingAfterBreak="0">
    <w:nsid w:val="42212469"/>
    <w:multiLevelType w:val="hybridMultilevel"/>
    <w:tmpl w:val="20F6C1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42CD7352"/>
    <w:multiLevelType w:val="hybridMultilevel"/>
    <w:tmpl w:val="87C8AA5A"/>
    <w:lvl w:ilvl="0" w:tplc="BA4EBBEC">
      <w:start w:val="1"/>
      <w:numFmt w:val="bullet"/>
      <w:pStyle w:val="BodyBullets"/>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47704575"/>
    <w:multiLevelType w:val="hybridMultilevel"/>
    <w:tmpl w:val="9CBA3992"/>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7" w15:restartNumberingAfterBreak="0">
    <w:nsid w:val="4941786A"/>
    <w:multiLevelType w:val="hybridMultilevel"/>
    <w:tmpl w:val="8A181FA4"/>
    <w:lvl w:ilvl="0" w:tplc="0C0A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4BEB2ED3"/>
    <w:multiLevelType w:val="hybridMultilevel"/>
    <w:tmpl w:val="0D6AEF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4F327867"/>
    <w:multiLevelType w:val="hybridMultilevel"/>
    <w:tmpl w:val="28BC0264"/>
    <w:lvl w:ilvl="0" w:tplc="296205F8">
      <w:start w:val="2006"/>
      <w:numFmt w:val="bullet"/>
      <w:pStyle w:val="Bodysubbullets"/>
      <w:lvlText w:val="-"/>
      <w:lvlJc w:val="left"/>
      <w:pPr>
        <w:ind w:left="6030" w:hanging="360"/>
      </w:pPr>
      <w:rPr>
        <w:rFonts w:ascii="Arial" w:eastAsia="Times New Roman" w:hAnsi="Arial" w:cs="Arial" w:hint="default"/>
      </w:rPr>
    </w:lvl>
    <w:lvl w:ilvl="1" w:tplc="04090003" w:tentative="1">
      <w:start w:val="1"/>
      <w:numFmt w:val="bullet"/>
      <w:lvlText w:val="o"/>
      <w:lvlJc w:val="left"/>
      <w:pPr>
        <w:ind w:left="6750" w:hanging="360"/>
      </w:pPr>
      <w:rPr>
        <w:rFonts w:ascii="Courier New" w:hAnsi="Courier New" w:cs="Courier New" w:hint="default"/>
      </w:rPr>
    </w:lvl>
    <w:lvl w:ilvl="2" w:tplc="04090005" w:tentative="1">
      <w:start w:val="1"/>
      <w:numFmt w:val="bullet"/>
      <w:lvlText w:val=""/>
      <w:lvlJc w:val="left"/>
      <w:pPr>
        <w:ind w:left="7470" w:hanging="360"/>
      </w:pPr>
      <w:rPr>
        <w:rFonts w:ascii="Wingdings" w:hAnsi="Wingdings" w:hint="default"/>
      </w:rPr>
    </w:lvl>
    <w:lvl w:ilvl="3" w:tplc="04090001" w:tentative="1">
      <w:start w:val="1"/>
      <w:numFmt w:val="bullet"/>
      <w:lvlText w:val=""/>
      <w:lvlJc w:val="left"/>
      <w:pPr>
        <w:ind w:left="8190" w:hanging="360"/>
      </w:pPr>
      <w:rPr>
        <w:rFonts w:ascii="Symbol" w:hAnsi="Symbol" w:hint="default"/>
      </w:rPr>
    </w:lvl>
    <w:lvl w:ilvl="4" w:tplc="04090003" w:tentative="1">
      <w:start w:val="1"/>
      <w:numFmt w:val="bullet"/>
      <w:lvlText w:val="o"/>
      <w:lvlJc w:val="left"/>
      <w:pPr>
        <w:ind w:left="8910" w:hanging="360"/>
      </w:pPr>
      <w:rPr>
        <w:rFonts w:ascii="Courier New" w:hAnsi="Courier New" w:cs="Courier New" w:hint="default"/>
      </w:rPr>
    </w:lvl>
    <w:lvl w:ilvl="5" w:tplc="04090005" w:tentative="1">
      <w:start w:val="1"/>
      <w:numFmt w:val="bullet"/>
      <w:lvlText w:val=""/>
      <w:lvlJc w:val="left"/>
      <w:pPr>
        <w:ind w:left="9630" w:hanging="360"/>
      </w:pPr>
      <w:rPr>
        <w:rFonts w:ascii="Wingdings" w:hAnsi="Wingdings" w:hint="default"/>
      </w:rPr>
    </w:lvl>
    <w:lvl w:ilvl="6" w:tplc="04090001" w:tentative="1">
      <w:start w:val="1"/>
      <w:numFmt w:val="bullet"/>
      <w:lvlText w:val=""/>
      <w:lvlJc w:val="left"/>
      <w:pPr>
        <w:ind w:left="10350" w:hanging="360"/>
      </w:pPr>
      <w:rPr>
        <w:rFonts w:ascii="Symbol" w:hAnsi="Symbol" w:hint="default"/>
      </w:rPr>
    </w:lvl>
    <w:lvl w:ilvl="7" w:tplc="04090003" w:tentative="1">
      <w:start w:val="1"/>
      <w:numFmt w:val="bullet"/>
      <w:lvlText w:val="o"/>
      <w:lvlJc w:val="left"/>
      <w:pPr>
        <w:ind w:left="11070" w:hanging="360"/>
      </w:pPr>
      <w:rPr>
        <w:rFonts w:ascii="Courier New" w:hAnsi="Courier New" w:cs="Courier New" w:hint="default"/>
      </w:rPr>
    </w:lvl>
    <w:lvl w:ilvl="8" w:tplc="04090005" w:tentative="1">
      <w:start w:val="1"/>
      <w:numFmt w:val="bullet"/>
      <w:lvlText w:val=""/>
      <w:lvlJc w:val="left"/>
      <w:pPr>
        <w:ind w:left="11790" w:hanging="360"/>
      </w:pPr>
      <w:rPr>
        <w:rFonts w:ascii="Wingdings" w:hAnsi="Wingdings" w:hint="default"/>
      </w:rPr>
    </w:lvl>
  </w:abstractNum>
  <w:abstractNum w:abstractNumId="50" w15:restartNumberingAfterBreak="0">
    <w:nsid w:val="4FB50DBA"/>
    <w:multiLevelType w:val="hybridMultilevel"/>
    <w:tmpl w:val="7C68024E"/>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1" w15:restartNumberingAfterBreak="0">
    <w:nsid w:val="54A9114C"/>
    <w:multiLevelType w:val="hybridMultilevel"/>
    <w:tmpl w:val="412EE5B2"/>
    <w:lvl w:ilvl="0" w:tplc="9CB8C28A">
      <w:start w:val="1"/>
      <w:numFmt w:val="decimal"/>
      <w:lvlText w:val="%1."/>
      <w:lvlJc w:val="left"/>
      <w:pPr>
        <w:ind w:left="720" w:hanging="360"/>
      </w:pPr>
      <w:rPr>
        <w:rFonts w:hint="default"/>
        <w:b/>
        <w:bCs/>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58FA31E3"/>
    <w:multiLevelType w:val="hybridMultilevel"/>
    <w:tmpl w:val="233875BA"/>
    <w:lvl w:ilvl="0" w:tplc="0C0A000B">
      <w:start w:val="1"/>
      <w:numFmt w:val="bullet"/>
      <w:lvlText w:val=""/>
      <w:lvlJc w:val="left"/>
      <w:pPr>
        <w:ind w:left="720" w:hanging="360"/>
      </w:pPr>
      <w:rPr>
        <w:rFonts w:ascii="Wingdings" w:hAnsi="Wingdings"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3" w15:restartNumberingAfterBreak="0">
    <w:nsid w:val="5B370F92"/>
    <w:multiLevelType w:val="hybridMultilevel"/>
    <w:tmpl w:val="201646F8"/>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4" w15:restartNumberingAfterBreak="0">
    <w:nsid w:val="5D32070A"/>
    <w:multiLevelType w:val="hybridMultilevel"/>
    <w:tmpl w:val="7C22BBA6"/>
    <w:lvl w:ilvl="0" w:tplc="4DA4E96E">
      <w:start w:val="1"/>
      <w:numFmt w:val="bullet"/>
      <w:pStyle w:val="guionado"/>
      <w:lvlText w:val=""/>
      <w:lvlJc w:val="left"/>
      <w:pPr>
        <w:tabs>
          <w:tab w:val="num" w:pos="454"/>
        </w:tabs>
        <w:ind w:left="454" w:hanging="454"/>
      </w:pPr>
      <w:rPr>
        <w:rFonts w:ascii="Symbol" w:hAnsi="Symbol" w:hint="default"/>
        <w:color w:val="auto"/>
        <w:sz w:val="22"/>
      </w:rPr>
    </w:lvl>
    <w:lvl w:ilvl="1" w:tplc="0C0A0003" w:tentative="1">
      <w:start w:val="1"/>
      <w:numFmt w:val="bullet"/>
      <w:lvlText w:val="o"/>
      <w:lvlJc w:val="left"/>
      <w:pPr>
        <w:tabs>
          <w:tab w:val="num" w:pos="873"/>
        </w:tabs>
        <w:ind w:left="873" w:hanging="360"/>
      </w:pPr>
      <w:rPr>
        <w:rFonts w:ascii="Courier New" w:hAnsi="Courier New" w:hint="default"/>
      </w:rPr>
    </w:lvl>
    <w:lvl w:ilvl="2" w:tplc="0C0A0005" w:tentative="1">
      <w:start w:val="1"/>
      <w:numFmt w:val="bullet"/>
      <w:lvlText w:val=""/>
      <w:lvlJc w:val="left"/>
      <w:pPr>
        <w:tabs>
          <w:tab w:val="num" w:pos="1593"/>
        </w:tabs>
        <w:ind w:left="1593" w:hanging="360"/>
      </w:pPr>
      <w:rPr>
        <w:rFonts w:ascii="Wingdings" w:hAnsi="Wingdings" w:hint="default"/>
      </w:rPr>
    </w:lvl>
    <w:lvl w:ilvl="3" w:tplc="0C0A0001" w:tentative="1">
      <w:start w:val="1"/>
      <w:numFmt w:val="bullet"/>
      <w:lvlText w:val=""/>
      <w:lvlJc w:val="left"/>
      <w:pPr>
        <w:tabs>
          <w:tab w:val="num" w:pos="2313"/>
        </w:tabs>
        <w:ind w:left="2313" w:hanging="360"/>
      </w:pPr>
      <w:rPr>
        <w:rFonts w:ascii="Symbol" w:hAnsi="Symbol" w:hint="default"/>
      </w:rPr>
    </w:lvl>
    <w:lvl w:ilvl="4" w:tplc="0C0A0003" w:tentative="1">
      <w:start w:val="1"/>
      <w:numFmt w:val="bullet"/>
      <w:lvlText w:val="o"/>
      <w:lvlJc w:val="left"/>
      <w:pPr>
        <w:tabs>
          <w:tab w:val="num" w:pos="3033"/>
        </w:tabs>
        <w:ind w:left="3033" w:hanging="360"/>
      </w:pPr>
      <w:rPr>
        <w:rFonts w:ascii="Courier New" w:hAnsi="Courier New" w:hint="default"/>
      </w:rPr>
    </w:lvl>
    <w:lvl w:ilvl="5" w:tplc="0C0A0005" w:tentative="1">
      <w:start w:val="1"/>
      <w:numFmt w:val="bullet"/>
      <w:lvlText w:val=""/>
      <w:lvlJc w:val="left"/>
      <w:pPr>
        <w:tabs>
          <w:tab w:val="num" w:pos="3753"/>
        </w:tabs>
        <w:ind w:left="3753" w:hanging="360"/>
      </w:pPr>
      <w:rPr>
        <w:rFonts w:ascii="Wingdings" w:hAnsi="Wingdings" w:hint="default"/>
      </w:rPr>
    </w:lvl>
    <w:lvl w:ilvl="6" w:tplc="0C0A0001" w:tentative="1">
      <w:start w:val="1"/>
      <w:numFmt w:val="bullet"/>
      <w:lvlText w:val=""/>
      <w:lvlJc w:val="left"/>
      <w:pPr>
        <w:tabs>
          <w:tab w:val="num" w:pos="4473"/>
        </w:tabs>
        <w:ind w:left="4473" w:hanging="360"/>
      </w:pPr>
      <w:rPr>
        <w:rFonts w:ascii="Symbol" w:hAnsi="Symbol" w:hint="default"/>
      </w:rPr>
    </w:lvl>
    <w:lvl w:ilvl="7" w:tplc="0C0A0003" w:tentative="1">
      <w:start w:val="1"/>
      <w:numFmt w:val="bullet"/>
      <w:lvlText w:val="o"/>
      <w:lvlJc w:val="left"/>
      <w:pPr>
        <w:tabs>
          <w:tab w:val="num" w:pos="5193"/>
        </w:tabs>
        <w:ind w:left="5193" w:hanging="360"/>
      </w:pPr>
      <w:rPr>
        <w:rFonts w:ascii="Courier New" w:hAnsi="Courier New" w:hint="default"/>
      </w:rPr>
    </w:lvl>
    <w:lvl w:ilvl="8" w:tplc="0C0A0005" w:tentative="1">
      <w:start w:val="1"/>
      <w:numFmt w:val="bullet"/>
      <w:lvlText w:val=""/>
      <w:lvlJc w:val="left"/>
      <w:pPr>
        <w:tabs>
          <w:tab w:val="num" w:pos="5913"/>
        </w:tabs>
        <w:ind w:left="5913" w:hanging="360"/>
      </w:pPr>
      <w:rPr>
        <w:rFonts w:ascii="Wingdings" w:hAnsi="Wingdings" w:hint="default"/>
      </w:rPr>
    </w:lvl>
  </w:abstractNum>
  <w:abstractNum w:abstractNumId="55" w15:restartNumberingAfterBreak="0">
    <w:nsid w:val="6035262B"/>
    <w:multiLevelType w:val="hybridMultilevel"/>
    <w:tmpl w:val="D2967A0A"/>
    <w:lvl w:ilvl="0" w:tplc="0C0A000B">
      <w:start w:val="1"/>
      <w:numFmt w:val="bullet"/>
      <w:lvlText w:val=""/>
      <w:lvlJc w:val="left"/>
      <w:pPr>
        <w:ind w:left="720" w:hanging="360"/>
      </w:pPr>
      <w:rPr>
        <w:rFonts w:ascii="Wingdings" w:hAnsi="Wingdings"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6" w15:restartNumberingAfterBreak="0">
    <w:nsid w:val="63167C48"/>
    <w:multiLevelType w:val="hybridMultilevel"/>
    <w:tmpl w:val="377CF7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66D12D48"/>
    <w:multiLevelType w:val="hybridMultilevel"/>
    <w:tmpl w:val="37F89A28"/>
    <w:lvl w:ilvl="0" w:tplc="59C083FE">
      <w:start w:val="1"/>
      <w:numFmt w:val="bullet"/>
      <w:pStyle w:val="Tablebulletsindentedsmall"/>
      <w:lvlText w:val="-"/>
      <w:lvlJc w:val="left"/>
      <w:pPr>
        <w:ind w:left="720" w:hanging="360"/>
      </w:pPr>
      <w:rPr>
        <w:rFonts w:ascii="Arial" w:hAnsi="Arial" w:hint="default"/>
        <w:color w:val="46749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15:restartNumberingAfterBreak="0">
    <w:nsid w:val="684573E1"/>
    <w:multiLevelType w:val="hybridMultilevel"/>
    <w:tmpl w:val="7C681F5E"/>
    <w:lvl w:ilvl="0" w:tplc="0C0A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68EE51B3"/>
    <w:multiLevelType w:val="hybridMultilevel"/>
    <w:tmpl w:val="12F80144"/>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0" w15:restartNumberingAfterBreak="0">
    <w:nsid w:val="691C2E95"/>
    <w:multiLevelType w:val="multilevel"/>
    <w:tmpl w:val="872C0794"/>
    <w:lvl w:ilvl="0">
      <w:start w:val="1"/>
      <w:numFmt w:val="decimal"/>
      <w:pStyle w:val="TtuloFactornumerado"/>
      <w:lvlText w:val="%1."/>
      <w:lvlJc w:val="left"/>
      <w:pPr>
        <w:ind w:left="361" w:hanging="360"/>
      </w:pPr>
      <w:rPr>
        <w:rFonts w:hint="default"/>
        <w:b/>
        <w:bCs/>
        <w:color w:val="019F6C"/>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1" w15:restartNumberingAfterBreak="0">
    <w:nsid w:val="6BFF5E0C"/>
    <w:multiLevelType w:val="hybridMultilevel"/>
    <w:tmpl w:val="95820006"/>
    <w:lvl w:ilvl="0" w:tplc="0C0A000B">
      <w:start w:val="1"/>
      <w:numFmt w:val="bullet"/>
      <w:lvlText w:val=""/>
      <w:lvlJc w:val="left"/>
      <w:pPr>
        <w:ind w:left="720" w:hanging="360"/>
      </w:pPr>
      <w:rPr>
        <w:rFonts w:ascii="Wingdings" w:hAnsi="Wingdings"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2" w15:restartNumberingAfterBreak="0">
    <w:nsid w:val="6C9F58E6"/>
    <w:multiLevelType w:val="hybridMultilevel"/>
    <w:tmpl w:val="63927274"/>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3" w15:restartNumberingAfterBreak="0">
    <w:nsid w:val="6CD31C3C"/>
    <w:multiLevelType w:val="hybridMultilevel"/>
    <w:tmpl w:val="A9DE1346"/>
    <w:lvl w:ilvl="0" w:tplc="29284AC8">
      <w:start w:val="1"/>
      <w:numFmt w:val="bullet"/>
      <w:lvlText w:val=""/>
      <w:lvlJc w:val="left"/>
      <w:pPr>
        <w:ind w:left="720" w:hanging="360"/>
      </w:pPr>
      <w:rPr>
        <w:rFonts w:ascii="Wingdings" w:hAnsi="Wingdings" w:hint="default"/>
        <w:color w:val="auto"/>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4" w15:restartNumberingAfterBreak="0">
    <w:nsid w:val="6D8140D9"/>
    <w:multiLevelType w:val="hybridMultilevel"/>
    <w:tmpl w:val="0B10E8FA"/>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5" w15:restartNumberingAfterBreak="0">
    <w:nsid w:val="6DE36D7E"/>
    <w:multiLevelType w:val="hybridMultilevel"/>
    <w:tmpl w:val="9F725FD0"/>
    <w:lvl w:ilvl="0" w:tplc="B7D64612">
      <w:start w:val="1"/>
      <w:numFmt w:val="upperLetter"/>
      <w:pStyle w:val="Ttulo"/>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6E34075E"/>
    <w:multiLevelType w:val="hybridMultilevel"/>
    <w:tmpl w:val="A2A62214"/>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7" w15:restartNumberingAfterBreak="0">
    <w:nsid w:val="6E4B6F8D"/>
    <w:multiLevelType w:val="hybridMultilevel"/>
    <w:tmpl w:val="9614E554"/>
    <w:lvl w:ilvl="0" w:tplc="29284AC8">
      <w:start w:val="1"/>
      <w:numFmt w:val="bullet"/>
      <w:lvlText w:val=""/>
      <w:lvlJc w:val="left"/>
      <w:pPr>
        <w:ind w:left="720" w:hanging="360"/>
      </w:pPr>
      <w:rPr>
        <w:rFonts w:ascii="Wingdings" w:hAnsi="Wing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6F160016"/>
    <w:multiLevelType w:val="hybridMultilevel"/>
    <w:tmpl w:val="D7AA13C4"/>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9" w15:restartNumberingAfterBreak="0">
    <w:nsid w:val="711B7085"/>
    <w:multiLevelType w:val="hybridMultilevel"/>
    <w:tmpl w:val="CAEEC0F8"/>
    <w:lvl w:ilvl="0" w:tplc="29284AC8">
      <w:start w:val="1"/>
      <w:numFmt w:val="bullet"/>
      <w:lvlText w:val=""/>
      <w:lvlJc w:val="left"/>
      <w:pPr>
        <w:ind w:left="720" w:hanging="360"/>
      </w:pPr>
      <w:rPr>
        <w:rFonts w:ascii="Wingdings" w:hAnsi="Wingdings" w:hint="default"/>
        <w:color w:val="auto"/>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0" w15:restartNumberingAfterBreak="0">
    <w:nsid w:val="722414E5"/>
    <w:multiLevelType w:val="hybridMultilevel"/>
    <w:tmpl w:val="BEA2C096"/>
    <w:lvl w:ilvl="0" w:tplc="6F2EC706">
      <w:start w:val="1"/>
      <w:numFmt w:val="decimal"/>
      <w:pStyle w:val="7Enumerdos"/>
      <w:lvlText w:val="%1."/>
      <w:lvlJc w:val="left"/>
      <w:pPr>
        <w:ind w:left="1077" w:hanging="360"/>
      </w:pPr>
      <w:rPr>
        <w:rFonts w:ascii="Calibri Light" w:hAnsi="Calibri Light" w:hint="default"/>
        <w:color w:val="25775E"/>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71" w15:restartNumberingAfterBreak="0">
    <w:nsid w:val="72EC1F02"/>
    <w:multiLevelType w:val="singleLevel"/>
    <w:tmpl w:val="874623CE"/>
    <w:lvl w:ilvl="0">
      <w:start w:val="1"/>
      <w:numFmt w:val="bullet"/>
      <w:pStyle w:val="Puce1"/>
      <w:lvlText w:val=""/>
      <w:lvlJc w:val="left"/>
      <w:pPr>
        <w:tabs>
          <w:tab w:val="num" w:pos="360"/>
        </w:tabs>
        <w:ind w:left="288" w:hanging="288"/>
      </w:pPr>
      <w:rPr>
        <w:rFonts w:ascii="Wingdings 2" w:hAnsi="Wingdings 2" w:hint="default"/>
        <w:b w:val="0"/>
        <w:i w:val="0"/>
        <w:color w:val="4472C4" w:themeColor="accent1"/>
        <w:sz w:val="20"/>
      </w:rPr>
    </w:lvl>
  </w:abstractNum>
  <w:abstractNum w:abstractNumId="72" w15:restartNumberingAfterBreak="0">
    <w:nsid w:val="741C289E"/>
    <w:multiLevelType w:val="hybridMultilevel"/>
    <w:tmpl w:val="047EC7F2"/>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3" w15:restartNumberingAfterBreak="0">
    <w:nsid w:val="74C32544"/>
    <w:multiLevelType w:val="hybridMultilevel"/>
    <w:tmpl w:val="96B2A75C"/>
    <w:lvl w:ilvl="0" w:tplc="0C0A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769209B2"/>
    <w:multiLevelType w:val="hybridMultilevel"/>
    <w:tmpl w:val="D57EFBAE"/>
    <w:lvl w:ilvl="0" w:tplc="FBE0819C">
      <w:start w:val="1"/>
      <w:numFmt w:val="bullet"/>
      <w:pStyle w:val="Companyprofile-Textboxbulletpointssmall"/>
      <w:lvlText w:val=""/>
      <w:lvlJc w:val="left"/>
      <w:pPr>
        <w:ind w:left="4046" w:hanging="360"/>
      </w:pPr>
      <w:rPr>
        <w:rFonts w:ascii="Symbol" w:hAnsi="Symbol"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5" w15:restartNumberingAfterBreak="0">
    <w:nsid w:val="770F4C92"/>
    <w:multiLevelType w:val="hybridMultilevel"/>
    <w:tmpl w:val="DC426714"/>
    <w:lvl w:ilvl="0" w:tplc="6EA63844">
      <w:start w:val="1"/>
      <w:numFmt w:val="decimal"/>
      <w:pStyle w:val="subtitulo40"/>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6" w15:restartNumberingAfterBreak="0">
    <w:nsid w:val="77D878E0"/>
    <w:multiLevelType w:val="hybridMultilevel"/>
    <w:tmpl w:val="65A01116"/>
    <w:lvl w:ilvl="0" w:tplc="0C0A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798F2B58"/>
    <w:multiLevelType w:val="hybridMultilevel"/>
    <w:tmpl w:val="0C7C7312"/>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8" w15:restartNumberingAfterBreak="0">
    <w:nsid w:val="7A6721E1"/>
    <w:multiLevelType w:val="hybridMultilevel"/>
    <w:tmpl w:val="CDA2386A"/>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9" w15:restartNumberingAfterBreak="0">
    <w:nsid w:val="7A706AF8"/>
    <w:multiLevelType w:val="hybridMultilevel"/>
    <w:tmpl w:val="37447530"/>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0" w15:restartNumberingAfterBreak="0">
    <w:nsid w:val="7EA84AD3"/>
    <w:multiLevelType w:val="hybridMultilevel"/>
    <w:tmpl w:val="93B4DE36"/>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1" w15:restartNumberingAfterBreak="0">
    <w:nsid w:val="7EAE2B83"/>
    <w:multiLevelType w:val="hybridMultilevel"/>
    <w:tmpl w:val="16BCAEA2"/>
    <w:lvl w:ilvl="0" w:tplc="FCF6EECE">
      <w:start w:val="1"/>
      <w:numFmt w:val="bullet"/>
      <w:pStyle w:val="Listalarga"/>
      <w:lvlText w:val=""/>
      <w:lvlJc w:val="left"/>
      <w:pPr>
        <w:ind w:left="720" w:hanging="360"/>
      </w:pPr>
      <w:rPr>
        <w:rFonts w:ascii="Symbol" w:hAnsi="Symbol" w:hint="default"/>
        <w:b/>
        <w:color w:val="76923C"/>
      </w:rPr>
    </w:lvl>
    <w:lvl w:ilvl="1" w:tplc="A35EC536">
      <w:start w:val="4"/>
      <w:numFmt w:val="bullet"/>
      <w:lvlText w:val="•"/>
      <w:lvlJc w:val="left"/>
      <w:pPr>
        <w:ind w:left="1440" w:hanging="360"/>
      </w:pPr>
      <w:rPr>
        <w:rFonts w:ascii="Century Gothic" w:eastAsia="Times New Roman" w:hAnsi="Century Gothic" w:cs="Times New Roman" w:hint="default"/>
      </w:rPr>
    </w:lvl>
    <w:lvl w:ilvl="2" w:tplc="0C0A0005">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2" w15:restartNumberingAfterBreak="0">
    <w:nsid w:val="7ED63AE4"/>
    <w:multiLevelType w:val="hybridMultilevel"/>
    <w:tmpl w:val="73006A08"/>
    <w:lvl w:ilvl="0" w:tplc="0C0A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7F9557DF"/>
    <w:multiLevelType w:val="hybridMultilevel"/>
    <w:tmpl w:val="88D0F3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800345120">
    <w:abstractNumId w:val="17"/>
  </w:num>
  <w:num w:numId="2" w16cid:durableId="1378311363">
    <w:abstractNumId w:val="65"/>
  </w:num>
  <w:num w:numId="3" w16cid:durableId="573243625">
    <w:abstractNumId w:val="24"/>
  </w:num>
  <w:num w:numId="4" w16cid:durableId="305206277">
    <w:abstractNumId w:val="60"/>
  </w:num>
  <w:num w:numId="5" w16cid:durableId="1232892213">
    <w:abstractNumId w:val="41"/>
  </w:num>
  <w:num w:numId="6" w16cid:durableId="1502088988">
    <w:abstractNumId w:val="0"/>
  </w:num>
  <w:num w:numId="7" w16cid:durableId="1173761701">
    <w:abstractNumId w:val="33"/>
  </w:num>
  <w:num w:numId="8" w16cid:durableId="876740761">
    <w:abstractNumId w:val="9"/>
  </w:num>
  <w:num w:numId="9" w16cid:durableId="301159731">
    <w:abstractNumId w:val="81"/>
  </w:num>
  <w:num w:numId="10" w16cid:durableId="977802638">
    <w:abstractNumId w:val="43"/>
  </w:num>
  <w:num w:numId="11" w16cid:durableId="309210389">
    <w:abstractNumId w:val="45"/>
  </w:num>
  <w:num w:numId="12" w16cid:durableId="736825781">
    <w:abstractNumId w:val="49"/>
  </w:num>
  <w:num w:numId="13" w16cid:durableId="229969392">
    <w:abstractNumId w:val="54"/>
  </w:num>
  <w:num w:numId="14" w16cid:durableId="1490438630">
    <w:abstractNumId w:val="29"/>
  </w:num>
  <w:num w:numId="15" w16cid:durableId="881091109">
    <w:abstractNumId w:val="32"/>
  </w:num>
  <w:num w:numId="16" w16cid:durableId="1757937797">
    <w:abstractNumId w:val="74"/>
  </w:num>
  <w:num w:numId="17" w16cid:durableId="505217251">
    <w:abstractNumId w:val="26"/>
  </w:num>
  <w:num w:numId="18" w16cid:durableId="743377229">
    <w:abstractNumId w:val="57"/>
  </w:num>
  <w:num w:numId="19" w16cid:durableId="307714131">
    <w:abstractNumId w:val="75"/>
  </w:num>
  <w:num w:numId="20" w16cid:durableId="1014694118">
    <w:abstractNumId w:val="71"/>
  </w:num>
  <w:num w:numId="21" w16cid:durableId="638537330">
    <w:abstractNumId w:val="14"/>
  </w:num>
  <w:num w:numId="22" w16cid:durableId="1556087908">
    <w:abstractNumId w:val="10"/>
  </w:num>
  <w:num w:numId="23" w16cid:durableId="1068378149">
    <w:abstractNumId w:val="70"/>
  </w:num>
  <w:num w:numId="24" w16cid:durableId="663582017">
    <w:abstractNumId w:val="12"/>
  </w:num>
  <w:num w:numId="25" w16cid:durableId="200994325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930964050">
    <w:abstractNumId w:val="39"/>
  </w:num>
  <w:num w:numId="27" w16cid:durableId="1557886553">
    <w:abstractNumId w:val="83"/>
  </w:num>
  <w:num w:numId="28" w16cid:durableId="130952106">
    <w:abstractNumId w:val="51"/>
  </w:num>
  <w:num w:numId="29" w16cid:durableId="288902481">
    <w:abstractNumId w:val="69"/>
  </w:num>
  <w:num w:numId="30" w16cid:durableId="2072383191">
    <w:abstractNumId w:val="2"/>
  </w:num>
  <w:num w:numId="31" w16cid:durableId="1053849224">
    <w:abstractNumId w:val="25"/>
  </w:num>
  <w:num w:numId="32" w16cid:durableId="132723214">
    <w:abstractNumId w:val="5"/>
  </w:num>
  <w:num w:numId="33" w16cid:durableId="833104100">
    <w:abstractNumId w:val="63"/>
  </w:num>
  <w:num w:numId="34" w16cid:durableId="73817574">
    <w:abstractNumId w:val="7"/>
  </w:num>
  <w:num w:numId="35" w16cid:durableId="1178471749">
    <w:abstractNumId w:val="68"/>
  </w:num>
  <w:num w:numId="36" w16cid:durableId="1267498561">
    <w:abstractNumId w:val="42"/>
  </w:num>
  <w:num w:numId="37" w16cid:durableId="1505172401">
    <w:abstractNumId w:val="23"/>
  </w:num>
  <w:num w:numId="38" w16cid:durableId="155994201">
    <w:abstractNumId w:val="19"/>
  </w:num>
  <w:num w:numId="39" w16cid:durableId="1114977136">
    <w:abstractNumId w:val="77"/>
  </w:num>
  <w:num w:numId="40" w16cid:durableId="2056198487">
    <w:abstractNumId w:val="28"/>
  </w:num>
  <w:num w:numId="41" w16cid:durableId="1547795010">
    <w:abstractNumId w:val="80"/>
  </w:num>
  <w:num w:numId="42" w16cid:durableId="2042170477">
    <w:abstractNumId w:val="40"/>
  </w:num>
  <w:num w:numId="43" w16cid:durableId="1879202856">
    <w:abstractNumId w:val="27"/>
  </w:num>
  <w:num w:numId="44" w16cid:durableId="1108350575">
    <w:abstractNumId w:val="20"/>
  </w:num>
  <w:num w:numId="45" w16cid:durableId="1180778261">
    <w:abstractNumId w:val="37"/>
  </w:num>
  <w:num w:numId="46" w16cid:durableId="1061101373">
    <w:abstractNumId w:val="64"/>
  </w:num>
  <w:num w:numId="47" w16cid:durableId="739056131">
    <w:abstractNumId w:val="6"/>
  </w:num>
  <w:num w:numId="48" w16cid:durableId="321852311">
    <w:abstractNumId w:val="16"/>
  </w:num>
  <w:num w:numId="49" w16cid:durableId="968364162">
    <w:abstractNumId w:val="52"/>
  </w:num>
  <w:num w:numId="50" w16cid:durableId="210727220">
    <w:abstractNumId w:val="21"/>
  </w:num>
  <w:num w:numId="51" w16cid:durableId="623734666">
    <w:abstractNumId w:val="79"/>
  </w:num>
  <w:num w:numId="52" w16cid:durableId="1368867743">
    <w:abstractNumId w:val="8"/>
  </w:num>
  <w:num w:numId="53" w16cid:durableId="2122265896">
    <w:abstractNumId w:val="50"/>
  </w:num>
  <w:num w:numId="54" w16cid:durableId="2100058962">
    <w:abstractNumId w:val="61"/>
  </w:num>
  <w:num w:numId="55" w16cid:durableId="650014567">
    <w:abstractNumId w:val="53"/>
  </w:num>
  <w:num w:numId="56" w16cid:durableId="1646547877">
    <w:abstractNumId w:val="55"/>
  </w:num>
  <w:num w:numId="57" w16cid:durableId="908927040">
    <w:abstractNumId w:val="72"/>
  </w:num>
  <w:num w:numId="58" w16cid:durableId="1911454956">
    <w:abstractNumId w:val="36"/>
  </w:num>
  <w:num w:numId="59" w16cid:durableId="1251893928">
    <w:abstractNumId w:val="22"/>
  </w:num>
  <w:num w:numId="60" w16cid:durableId="441530761">
    <w:abstractNumId w:val="62"/>
  </w:num>
  <w:num w:numId="61" w16cid:durableId="2053578391">
    <w:abstractNumId w:val="59"/>
  </w:num>
  <w:num w:numId="62" w16cid:durableId="746733778">
    <w:abstractNumId w:val="15"/>
  </w:num>
  <w:num w:numId="63" w16cid:durableId="1827743860">
    <w:abstractNumId w:val="46"/>
  </w:num>
  <w:num w:numId="64" w16cid:durableId="316618451">
    <w:abstractNumId w:val="3"/>
  </w:num>
  <w:num w:numId="65" w16cid:durableId="1750230021">
    <w:abstractNumId w:val="1"/>
  </w:num>
  <w:num w:numId="66" w16cid:durableId="1749108447">
    <w:abstractNumId w:val="78"/>
  </w:num>
  <w:num w:numId="67" w16cid:durableId="1252736024">
    <w:abstractNumId w:val="18"/>
  </w:num>
  <w:num w:numId="68" w16cid:durableId="1194882003">
    <w:abstractNumId w:val="35"/>
  </w:num>
  <w:num w:numId="69" w16cid:durableId="976884649">
    <w:abstractNumId w:val="66"/>
  </w:num>
  <w:num w:numId="70" w16cid:durableId="142158868">
    <w:abstractNumId w:val="34"/>
  </w:num>
  <w:num w:numId="71" w16cid:durableId="1001158428">
    <w:abstractNumId w:val="38"/>
  </w:num>
  <w:num w:numId="72" w16cid:durableId="197010573">
    <w:abstractNumId w:val="56"/>
  </w:num>
  <w:num w:numId="73" w16cid:durableId="1616595156">
    <w:abstractNumId w:val="44"/>
  </w:num>
  <w:num w:numId="74" w16cid:durableId="123551179">
    <w:abstractNumId w:val="48"/>
  </w:num>
  <w:num w:numId="75" w16cid:durableId="1680346048">
    <w:abstractNumId w:val="73"/>
  </w:num>
  <w:num w:numId="76" w16cid:durableId="756947986">
    <w:abstractNumId w:val="31"/>
  </w:num>
  <w:num w:numId="77" w16cid:durableId="329216517">
    <w:abstractNumId w:val="76"/>
  </w:num>
  <w:num w:numId="78" w16cid:durableId="266498638">
    <w:abstractNumId w:val="58"/>
  </w:num>
  <w:num w:numId="79" w16cid:durableId="1403018431">
    <w:abstractNumId w:val="47"/>
  </w:num>
  <w:num w:numId="80" w16cid:durableId="88695830">
    <w:abstractNumId w:val="67"/>
  </w:num>
  <w:num w:numId="81" w16cid:durableId="1541017100">
    <w:abstractNumId w:val="4"/>
  </w:num>
  <w:num w:numId="82" w16cid:durableId="298264769">
    <w:abstractNumId w:val="30"/>
  </w:num>
  <w:num w:numId="83" w16cid:durableId="1171676482">
    <w:abstractNumId w:val="82"/>
  </w:num>
  <w:num w:numId="84" w16cid:durableId="1399942711">
    <w:abstractNumId w:val="11"/>
  </w:num>
  <w:num w:numId="85" w16cid:durableId="609243194">
    <w:abstractNumId w:val="13"/>
  </w:num>
  <w:numIdMacAtCleanup w:val="8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embedTrueTypeFonts/>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D69B6"/>
    <w:rsid w:val="00000353"/>
    <w:rsid w:val="00001E26"/>
    <w:rsid w:val="00002BC2"/>
    <w:rsid w:val="000040F3"/>
    <w:rsid w:val="0000422B"/>
    <w:rsid w:val="000042B7"/>
    <w:rsid w:val="000045F4"/>
    <w:rsid w:val="00004F85"/>
    <w:rsid w:val="0000597A"/>
    <w:rsid w:val="00005EFC"/>
    <w:rsid w:val="0001004B"/>
    <w:rsid w:val="00010194"/>
    <w:rsid w:val="00013974"/>
    <w:rsid w:val="00014D7F"/>
    <w:rsid w:val="00015BAF"/>
    <w:rsid w:val="00017014"/>
    <w:rsid w:val="0001701A"/>
    <w:rsid w:val="000177EF"/>
    <w:rsid w:val="00020931"/>
    <w:rsid w:val="00021D86"/>
    <w:rsid w:val="00025FDF"/>
    <w:rsid w:val="00026C53"/>
    <w:rsid w:val="000277F6"/>
    <w:rsid w:val="0002786A"/>
    <w:rsid w:val="00030B7F"/>
    <w:rsid w:val="000314D6"/>
    <w:rsid w:val="0003288C"/>
    <w:rsid w:val="00035722"/>
    <w:rsid w:val="00036016"/>
    <w:rsid w:val="00037417"/>
    <w:rsid w:val="00040064"/>
    <w:rsid w:val="000409FB"/>
    <w:rsid w:val="00040D35"/>
    <w:rsid w:val="00042C32"/>
    <w:rsid w:val="00047382"/>
    <w:rsid w:val="00050E7E"/>
    <w:rsid w:val="000532B5"/>
    <w:rsid w:val="0005456D"/>
    <w:rsid w:val="00054BC5"/>
    <w:rsid w:val="00054C2C"/>
    <w:rsid w:val="000553CC"/>
    <w:rsid w:val="00055DF3"/>
    <w:rsid w:val="00056EC3"/>
    <w:rsid w:val="00060074"/>
    <w:rsid w:val="00067E6B"/>
    <w:rsid w:val="00070147"/>
    <w:rsid w:val="00070169"/>
    <w:rsid w:val="00071205"/>
    <w:rsid w:val="000732A2"/>
    <w:rsid w:val="00074296"/>
    <w:rsid w:val="00077ABA"/>
    <w:rsid w:val="0008010D"/>
    <w:rsid w:val="00081331"/>
    <w:rsid w:val="00082E4F"/>
    <w:rsid w:val="000849A4"/>
    <w:rsid w:val="00084A7A"/>
    <w:rsid w:val="00085E27"/>
    <w:rsid w:val="00086958"/>
    <w:rsid w:val="00087E21"/>
    <w:rsid w:val="0009064D"/>
    <w:rsid w:val="00093AB6"/>
    <w:rsid w:val="00094795"/>
    <w:rsid w:val="00094847"/>
    <w:rsid w:val="00097CBD"/>
    <w:rsid w:val="000A0DE9"/>
    <w:rsid w:val="000A2383"/>
    <w:rsid w:val="000A73DD"/>
    <w:rsid w:val="000B4976"/>
    <w:rsid w:val="000B6EEB"/>
    <w:rsid w:val="000C09F3"/>
    <w:rsid w:val="000C2E06"/>
    <w:rsid w:val="000C2F32"/>
    <w:rsid w:val="000C306A"/>
    <w:rsid w:val="000C4016"/>
    <w:rsid w:val="000C4913"/>
    <w:rsid w:val="000C5260"/>
    <w:rsid w:val="000C64B2"/>
    <w:rsid w:val="000C6BD8"/>
    <w:rsid w:val="000D15EA"/>
    <w:rsid w:val="000D1F94"/>
    <w:rsid w:val="000D34A8"/>
    <w:rsid w:val="000D3A17"/>
    <w:rsid w:val="000D5634"/>
    <w:rsid w:val="000D59EF"/>
    <w:rsid w:val="000D6DF0"/>
    <w:rsid w:val="000E5C12"/>
    <w:rsid w:val="000E6790"/>
    <w:rsid w:val="000E7DAF"/>
    <w:rsid w:val="000F03F8"/>
    <w:rsid w:val="000F2DAA"/>
    <w:rsid w:val="000F3080"/>
    <w:rsid w:val="000F314F"/>
    <w:rsid w:val="000F3390"/>
    <w:rsid w:val="000F3C75"/>
    <w:rsid w:val="000F404A"/>
    <w:rsid w:val="000F4D39"/>
    <w:rsid w:val="000F5D5B"/>
    <w:rsid w:val="000F63AF"/>
    <w:rsid w:val="000F7F76"/>
    <w:rsid w:val="00100024"/>
    <w:rsid w:val="00101562"/>
    <w:rsid w:val="0010187E"/>
    <w:rsid w:val="0010547C"/>
    <w:rsid w:val="0010590B"/>
    <w:rsid w:val="00105DDC"/>
    <w:rsid w:val="00105E6F"/>
    <w:rsid w:val="001114FC"/>
    <w:rsid w:val="00112652"/>
    <w:rsid w:val="00113183"/>
    <w:rsid w:val="001143C9"/>
    <w:rsid w:val="00114EEE"/>
    <w:rsid w:val="001152C0"/>
    <w:rsid w:val="001169A4"/>
    <w:rsid w:val="00117FBD"/>
    <w:rsid w:val="00120CC9"/>
    <w:rsid w:val="00121AE6"/>
    <w:rsid w:val="00121F6C"/>
    <w:rsid w:val="0012366B"/>
    <w:rsid w:val="00123902"/>
    <w:rsid w:val="001250E2"/>
    <w:rsid w:val="001257BF"/>
    <w:rsid w:val="00126117"/>
    <w:rsid w:val="00126EF8"/>
    <w:rsid w:val="00130BD7"/>
    <w:rsid w:val="00131EE6"/>
    <w:rsid w:val="0013620E"/>
    <w:rsid w:val="00137A2A"/>
    <w:rsid w:val="0014042D"/>
    <w:rsid w:val="001416C7"/>
    <w:rsid w:val="001420DE"/>
    <w:rsid w:val="001423CC"/>
    <w:rsid w:val="00143331"/>
    <w:rsid w:val="001444B4"/>
    <w:rsid w:val="001451EF"/>
    <w:rsid w:val="0014634D"/>
    <w:rsid w:val="001469DA"/>
    <w:rsid w:val="00146A8E"/>
    <w:rsid w:val="00147A77"/>
    <w:rsid w:val="00153742"/>
    <w:rsid w:val="00154444"/>
    <w:rsid w:val="001547BD"/>
    <w:rsid w:val="00157385"/>
    <w:rsid w:val="00157B49"/>
    <w:rsid w:val="00160C1E"/>
    <w:rsid w:val="001615C4"/>
    <w:rsid w:val="00161F14"/>
    <w:rsid w:val="00162188"/>
    <w:rsid w:val="00162273"/>
    <w:rsid w:val="00162AD1"/>
    <w:rsid w:val="00164D24"/>
    <w:rsid w:val="00167192"/>
    <w:rsid w:val="00170F60"/>
    <w:rsid w:val="001710F3"/>
    <w:rsid w:val="001719A1"/>
    <w:rsid w:val="00173C3D"/>
    <w:rsid w:val="00174B12"/>
    <w:rsid w:val="00175799"/>
    <w:rsid w:val="00176669"/>
    <w:rsid w:val="00176A84"/>
    <w:rsid w:val="00176D3D"/>
    <w:rsid w:val="001776DB"/>
    <w:rsid w:val="001813EB"/>
    <w:rsid w:val="0018338F"/>
    <w:rsid w:val="001852E1"/>
    <w:rsid w:val="0018577E"/>
    <w:rsid w:val="00186107"/>
    <w:rsid w:val="00186650"/>
    <w:rsid w:val="001879C9"/>
    <w:rsid w:val="0019181B"/>
    <w:rsid w:val="0019404F"/>
    <w:rsid w:val="0019491A"/>
    <w:rsid w:val="00195340"/>
    <w:rsid w:val="001954A5"/>
    <w:rsid w:val="00195CAD"/>
    <w:rsid w:val="001973E1"/>
    <w:rsid w:val="001A39EF"/>
    <w:rsid w:val="001A3D65"/>
    <w:rsid w:val="001A49D3"/>
    <w:rsid w:val="001A4CE1"/>
    <w:rsid w:val="001A5289"/>
    <w:rsid w:val="001A5CE1"/>
    <w:rsid w:val="001A691C"/>
    <w:rsid w:val="001B4065"/>
    <w:rsid w:val="001B41F5"/>
    <w:rsid w:val="001B4CE0"/>
    <w:rsid w:val="001B5C1E"/>
    <w:rsid w:val="001B7D82"/>
    <w:rsid w:val="001C22BF"/>
    <w:rsid w:val="001C3E34"/>
    <w:rsid w:val="001C487D"/>
    <w:rsid w:val="001C4DC2"/>
    <w:rsid w:val="001C7625"/>
    <w:rsid w:val="001D0906"/>
    <w:rsid w:val="001D3DC6"/>
    <w:rsid w:val="001D3FB0"/>
    <w:rsid w:val="001D4384"/>
    <w:rsid w:val="001D4EF0"/>
    <w:rsid w:val="001D61DF"/>
    <w:rsid w:val="001D68CC"/>
    <w:rsid w:val="001D7170"/>
    <w:rsid w:val="001E0FEA"/>
    <w:rsid w:val="001E10C3"/>
    <w:rsid w:val="001E1290"/>
    <w:rsid w:val="001E1F2B"/>
    <w:rsid w:val="001E5F62"/>
    <w:rsid w:val="001E749B"/>
    <w:rsid w:val="001E7B8C"/>
    <w:rsid w:val="001F2E46"/>
    <w:rsid w:val="001F31D4"/>
    <w:rsid w:val="001F5F8E"/>
    <w:rsid w:val="001F5FBF"/>
    <w:rsid w:val="001F6306"/>
    <w:rsid w:val="001F6556"/>
    <w:rsid w:val="001F7E85"/>
    <w:rsid w:val="0020101B"/>
    <w:rsid w:val="0020272B"/>
    <w:rsid w:val="00202860"/>
    <w:rsid w:val="00202DAF"/>
    <w:rsid w:val="002036FE"/>
    <w:rsid w:val="00205CF3"/>
    <w:rsid w:val="00206D2D"/>
    <w:rsid w:val="00207CA1"/>
    <w:rsid w:val="00211C82"/>
    <w:rsid w:val="00213235"/>
    <w:rsid w:val="00213984"/>
    <w:rsid w:val="00215B84"/>
    <w:rsid w:val="0021692F"/>
    <w:rsid w:val="00216AEB"/>
    <w:rsid w:val="002179A9"/>
    <w:rsid w:val="0022089E"/>
    <w:rsid w:val="00220B9E"/>
    <w:rsid w:val="0022243D"/>
    <w:rsid w:val="0022274D"/>
    <w:rsid w:val="002240BD"/>
    <w:rsid w:val="00224F58"/>
    <w:rsid w:val="002269F4"/>
    <w:rsid w:val="002276F1"/>
    <w:rsid w:val="00230ADA"/>
    <w:rsid w:val="00230BBF"/>
    <w:rsid w:val="0023287F"/>
    <w:rsid w:val="002342C2"/>
    <w:rsid w:val="002468CA"/>
    <w:rsid w:val="00246AB4"/>
    <w:rsid w:val="002520D8"/>
    <w:rsid w:val="00253711"/>
    <w:rsid w:val="00253936"/>
    <w:rsid w:val="00253959"/>
    <w:rsid w:val="00253A87"/>
    <w:rsid w:val="00262FCB"/>
    <w:rsid w:val="00263B76"/>
    <w:rsid w:val="00264BDA"/>
    <w:rsid w:val="00266D28"/>
    <w:rsid w:val="00270AA9"/>
    <w:rsid w:val="002715ED"/>
    <w:rsid w:val="00271766"/>
    <w:rsid w:val="00271C4B"/>
    <w:rsid w:val="002723A9"/>
    <w:rsid w:val="00273E7D"/>
    <w:rsid w:val="002753B0"/>
    <w:rsid w:val="00276147"/>
    <w:rsid w:val="00276ADB"/>
    <w:rsid w:val="0028179A"/>
    <w:rsid w:val="00282064"/>
    <w:rsid w:val="002823DB"/>
    <w:rsid w:val="002854D4"/>
    <w:rsid w:val="0028574C"/>
    <w:rsid w:val="00287BC9"/>
    <w:rsid w:val="0029084E"/>
    <w:rsid w:val="00290E17"/>
    <w:rsid w:val="002921C7"/>
    <w:rsid w:val="00292A0E"/>
    <w:rsid w:val="002938ED"/>
    <w:rsid w:val="0029515A"/>
    <w:rsid w:val="00295DBC"/>
    <w:rsid w:val="00296683"/>
    <w:rsid w:val="00296B78"/>
    <w:rsid w:val="00296D3E"/>
    <w:rsid w:val="002A17CA"/>
    <w:rsid w:val="002A1DC0"/>
    <w:rsid w:val="002A24F4"/>
    <w:rsid w:val="002A288E"/>
    <w:rsid w:val="002A2963"/>
    <w:rsid w:val="002A4536"/>
    <w:rsid w:val="002A5053"/>
    <w:rsid w:val="002A52A2"/>
    <w:rsid w:val="002A5409"/>
    <w:rsid w:val="002A566C"/>
    <w:rsid w:val="002A61F7"/>
    <w:rsid w:val="002A67FE"/>
    <w:rsid w:val="002B141A"/>
    <w:rsid w:val="002B163A"/>
    <w:rsid w:val="002B1E9B"/>
    <w:rsid w:val="002B21D3"/>
    <w:rsid w:val="002B262D"/>
    <w:rsid w:val="002B2656"/>
    <w:rsid w:val="002B26EF"/>
    <w:rsid w:val="002B291B"/>
    <w:rsid w:val="002B33FA"/>
    <w:rsid w:val="002B3BAA"/>
    <w:rsid w:val="002B3EBC"/>
    <w:rsid w:val="002B4469"/>
    <w:rsid w:val="002B5AAF"/>
    <w:rsid w:val="002B60F9"/>
    <w:rsid w:val="002B61AB"/>
    <w:rsid w:val="002C35E6"/>
    <w:rsid w:val="002C520B"/>
    <w:rsid w:val="002C66D4"/>
    <w:rsid w:val="002D0023"/>
    <w:rsid w:val="002D0EFA"/>
    <w:rsid w:val="002D1785"/>
    <w:rsid w:val="002D17AD"/>
    <w:rsid w:val="002D186E"/>
    <w:rsid w:val="002D18AC"/>
    <w:rsid w:val="002D1949"/>
    <w:rsid w:val="002D28CA"/>
    <w:rsid w:val="002D38B9"/>
    <w:rsid w:val="002D39CC"/>
    <w:rsid w:val="002D48F8"/>
    <w:rsid w:val="002D58EB"/>
    <w:rsid w:val="002D5F42"/>
    <w:rsid w:val="002D77D2"/>
    <w:rsid w:val="002E1678"/>
    <w:rsid w:val="002E4CF4"/>
    <w:rsid w:val="002E607C"/>
    <w:rsid w:val="002E6666"/>
    <w:rsid w:val="002E7730"/>
    <w:rsid w:val="002F5414"/>
    <w:rsid w:val="002F70F6"/>
    <w:rsid w:val="002F72B2"/>
    <w:rsid w:val="0030038F"/>
    <w:rsid w:val="003006F0"/>
    <w:rsid w:val="0030526F"/>
    <w:rsid w:val="00305C83"/>
    <w:rsid w:val="00311E1F"/>
    <w:rsid w:val="00313AB9"/>
    <w:rsid w:val="00313AFC"/>
    <w:rsid w:val="00314181"/>
    <w:rsid w:val="00314265"/>
    <w:rsid w:val="00314293"/>
    <w:rsid w:val="00314852"/>
    <w:rsid w:val="00316747"/>
    <w:rsid w:val="003170E5"/>
    <w:rsid w:val="00317936"/>
    <w:rsid w:val="00317F45"/>
    <w:rsid w:val="003200CF"/>
    <w:rsid w:val="003222F5"/>
    <w:rsid w:val="00323BC3"/>
    <w:rsid w:val="003275DD"/>
    <w:rsid w:val="00327A23"/>
    <w:rsid w:val="003333DD"/>
    <w:rsid w:val="003356E8"/>
    <w:rsid w:val="003362CB"/>
    <w:rsid w:val="00337FAE"/>
    <w:rsid w:val="00340594"/>
    <w:rsid w:val="00342A8C"/>
    <w:rsid w:val="003439D2"/>
    <w:rsid w:val="00344ECA"/>
    <w:rsid w:val="0034515A"/>
    <w:rsid w:val="003452F5"/>
    <w:rsid w:val="003503EC"/>
    <w:rsid w:val="00352706"/>
    <w:rsid w:val="00353FA2"/>
    <w:rsid w:val="00356478"/>
    <w:rsid w:val="00356CEF"/>
    <w:rsid w:val="00360BEA"/>
    <w:rsid w:val="00361612"/>
    <w:rsid w:val="003639D9"/>
    <w:rsid w:val="00364722"/>
    <w:rsid w:val="00364B28"/>
    <w:rsid w:val="00364CA4"/>
    <w:rsid w:val="00371582"/>
    <w:rsid w:val="00372335"/>
    <w:rsid w:val="003735C5"/>
    <w:rsid w:val="00373A49"/>
    <w:rsid w:val="00374232"/>
    <w:rsid w:val="003748A9"/>
    <w:rsid w:val="00374E48"/>
    <w:rsid w:val="003753DA"/>
    <w:rsid w:val="003758E7"/>
    <w:rsid w:val="003760B1"/>
    <w:rsid w:val="0037621A"/>
    <w:rsid w:val="0037633E"/>
    <w:rsid w:val="00377592"/>
    <w:rsid w:val="003779FD"/>
    <w:rsid w:val="00383485"/>
    <w:rsid w:val="00385E17"/>
    <w:rsid w:val="003869D6"/>
    <w:rsid w:val="00386B4F"/>
    <w:rsid w:val="00387886"/>
    <w:rsid w:val="00390249"/>
    <w:rsid w:val="00390735"/>
    <w:rsid w:val="00391236"/>
    <w:rsid w:val="003916AD"/>
    <w:rsid w:val="003934A9"/>
    <w:rsid w:val="00393C9C"/>
    <w:rsid w:val="003943CF"/>
    <w:rsid w:val="00394CEA"/>
    <w:rsid w:val="00395853"/>
    <w:rsid w:val="00396C10"/>
    <w:rsid w:val="003A0B61"/>
    <w:rsid w:val="003A18D6"/>
    <w:rsid w:val="003A30DA"/>
    <w:rsid w:val="003A4275"/>
    <w:rsid w:val="003A4823"/>
    <w:rsid w:val="003A53E2"/>
    <w:rsid w:val="003A5A7D"/>
    <w:rsid w:val="003A697F"/>
    <w:rsid w:val="003A698C"/>
    <w:rsid w:val="003A7149"/>
    <w:rsid w:val="003B0361"/>
    <w:rsid w:val="003B0D3B"/>
    <w:rsid w:val="003B1835"/>
    <w:rsid w:val="003B1BCB"/>
    <w:rsid w:val="003B2733"/>
    <w:rsid w:val="003B3FA8"/>
    <w:rsid w:val="003B681F"/>
    <w:rsid w:val="003C1C9A"/>
    <w:rsid w:val="003C285C"/>
    <w:rsid w:val="003C50F3"/>
    <w:rsid w:val="003D191F"/>
    <w:rsid w:val="003D2251"/>
    <w:rsid w:val="003D4557"/>
    <w:rsid w:val="003D527E"/>
    <w:rsid w:val="003D696F"/>
    <w:rsid w:val="003D6D8A"/>
    <w:rsid w:val="003D6DC5"/>
    <w:rsid w:val="003D7AAE"/>
    <w:rsid w:val="003E05CB"/>
    <w:rsid w:val="003E1C6E"/>
    <w:rsid w:val="003E25B9"/>
    <w:rsid w:val="003E3284"/>
    <w:rsid w:val="003E3B1F"/>
    <w:rsid w:val="003E3B80"/>
    <w:rsid w:val="003E654C"/>
    <w:rsid w:val="003F0507"/>
    <w:rsid w:val="003F1EBF"/>
    <w:rsid w:val="003F2474"/>
    <w:rsid w:val="003F2C59"/>
    <w:rsid w:val="003F4170"/>
    <w:rsid w:val="003F4734"/>
    <w:rsid w:val="003F6187"/>
    <w:rsid w:val="003F7DFD"/>
    <w:rsid w:val="004023F1"/>
    <w:rsid w:val="00410CBC"/>
    <w:rsid w:val="00410D75"/>
    <w:rsid w:val="0041211A"/>
    <w:rsid w:val="00412831"/>
    <w:rsid w:val="00415050"/>
    <w:rsid w:val="00417BD7"/>
    <w:rsid w:val="0042165F"/>
    <w:rsid w:val="00422805"/>
    <w:rsid w:val="00423828"/>
    <w:rsid w:val="004249B5"/>
    <w:rsid w:val="004253C0"/>
    <w:rsid w:val="00432CF9"/>
    <w:rsid w:val="00434500"/>
    <w:rsid w:val="00435A21"/>
    <w:rsid w:val="00435CB1"/>
    <w:rsid w:val="00435E18"/>
    <w:rsid w:val="00437E06"/>
    <w:rsid w:val="0044089B"/>
    <w:rsid w:val="0044172F"/>
    <w:rsid w:val="00442EC7"/>
    <w:rsid w:val="004434F0"/>
    <w:rsid w:val="0044424F"/>
    <w:rsid w:val="004449C3"/>
    <w:rsid w:val="004449F6"/>
    <w:rsid w:val="00450E46"/>
    <w:rsid w:val="004518D3"/>
    <w:rsid w:val="00451AD3"/>
    <w:rsid w:val="00451BA5"/>
    <w:rsid w:val="004538DA"/>
    <w:rsid w:val="00453AE6"/>
    <w:rsid w:val="00457BA3"/>
    <w:rsid w:val="00457F58"/>
    <w:rsid w:val="004607F9"/>
    <w:rsid w:val="0046221B"/>
    <w:rsid w:val="0046245E"/>
    <w:rsid w:val="004625BC"/>
    <w:rsid w:val="004634A4"/>
    <w:rsid w:val="00463837"/>
    <w:rsid w:val="0046392D"/>
    <w:rsid w:val="004667B6"/>
    <w:rsid w:val="00466D6F"/>
    <w:rsid w:val="004671D7"/>
    <w:rsid w:val="00472EAF"/>
    <w:rsid w:val="0047347E"/>
    <w:rsid w:val="00477FD4"/>
    <w:rsid w:val="0048405D"/>
    <w:rsid w:val="00485C17"/>
    <w:rsid w:val="00485FC4"/>
    <w:rsid w:val="00490930"/>
    <w:rsid w:val="00491297"/>
    <w:rsid w:val="00491A25"/>
    <w:rsid w:val="0049239F"/>
    <w:rsid w:val="00493B54"/>
    <w:rsid w:val="00493E84"/>
    <w:rsid w:val="00494072"/>
    <w:rsid w:val="00494C83"/>
    <w:rsid w:val="00495F8C"/>
    <w:rsid w:val="004A1D8D"/>
    <w:rsid w:val="004A32B4"/>
    <w:rsid w:val="004A3385"/>
    <w:rsid w:val="004A540E"/>
    <w:rsid w:val="004A5B5C"/>
    <w:rsid w:val="004A7A31"/>
    <w:rsid w:val="004B0C58"/>
    <w:rsid w:val="004B1DA1"/>
    <w:rsid w:val="004B4156"/>
    <w:rsid w:val="004B476E"/>
    <w:rsid w:val="004B5908"/>
    <w:rsid w:val="004B61C0"/>
    <w:rsid w:val="004B645E"/>
    <w:rsid w:val="004C0A64"/>
    <w:rsid w:val="004C304E"/>
    <w:rsid w:val="004C4FE3"/>
    <w:rsid w:val="004C589F"/>
    <w:rsid w:val="004C59F1"/>
    <w:rsid w:val="004C78B6"/>
    <w:rsid w:val="004D0D1B"/>
    <w:rsid w:val="004D0FE0"/>
    <w:rsid w:val="004D10F5"/>
    <w:rsid w:val="004D19E1"/>
    <w:rsid w:val="004D6B7A"/>
    <w:rsid w:val="004E02A4"/>
    <w:rsid w:val="004E3114"/>
    <w:rsid w:val="004E3DD1"/>
    <w:rsid w:val="004E5824"/>
    <w:rsid w:val="004E6AB0"/>
    <w:rsid w:val="004F0853"/>
    <w:rsid w:val="004F4F62"/>
    <w:rsid w:val="004F5CDE"/>
    <w:rsid w:val="004F629D"/>
    <w:rsid w:val="00500EFD"/>
    <w:rsid w:val="005016B0"/>
    <w:rsid w:val="005020C4"/>
    <w:rsid w:val="00502B4C"/>
    <w:rsid w:val="00502C8B"/>
    <w:rsid w:val="00503013"/>
    <w:rsid w:val="005035DB"/>
    <w:rsid w:val="00503DCA"/>
    <w:rsid w:val="00504D57"/>
    <w:rsid w:val="00506B0F"/>
    <w:rsid w:val="005070BF"/>
    <w:rsid w:val="0050711F"/>
    <w:rsid w:val="005076BB"/>
    <w:rsid w:val="00510B4C"/>
    <w:rsid w:val="00510DB3"/>
    <w:rsid w:val="00511820"/>
    <w:rsid w:val="00512E44"/>
    <w:rsid w:val="00513705"/>
    <w:rsid w:val="00513F89"/>
    <w:rsid w:val="00516FCA"/>
    <w:rsid w:val="00517559"/>
    <w:rsid w:val="00517932"/>
    <w:rsid w:val="00517FB7"/>
    <w:rsid w:val="00521D54"/>
    <w:rsid w:val="00522223"/>
    <w:rsid w:val="00523360"/>
    <w:rsid w:val="00523EB1"/>
    <w:rsid w:val="0052440E"/>
    <w:rsid w:val="0052485F"/>
    <w:rsid w:val="00524F02"/>
    <w:rsid w:val="0052585F"/>
    <w:rsid w:val="00526309"/>
    <w:rsid w:val="005303DA"/>
    <w:rsid w:val="00531188"/>
    <w:rsid w:val="00531305"/>
    <w:rsid w:val="00531ECE"/>
    <w:rsid w:val="005337AD"/>
    <w:rsid w:val="00533C5C"/>
    <w:rsid w:val="00533E95"/>
    <w:rsid w:val="00534C0B"/>
    <w:rsid w:val="00534EB2"/>
    <w:rsid w:val="005351FA"/>
    <w:rsid w:val="00535733"/>
    <w:rsid w:val="00536266"/>
    <w:rsid w:val="005363FE"/>
    <w:rsid w:val="00536658"/>
    <w:rsid w:val="00537DCE"/>
    <w:rsid w:val="00540F7A"/>
    <w:rsid w:val="0054234C"/>
    <w:rsid w:val="005427F4"/>
    <w:rsid w:val="005436C4"/>
    <w:rsid w:val="0054499C"/>
    <w:rsid w:val="005461EE"/>
    <w:rsid w:val="0054779B"/>
    <w:rsid w:val="00547D65"/>
    <w:rsid w:val="00547EDF"/>
    <w:rsid w:val="005505A1"/>
    <w:rsid w:val="00551835"/>
    <w:rsid w:val="00551FE1"/>
    <w:rsid w:val="00552DD8"/>
    <w:rsid w:val="00555993"/>
    <w:rsid w:val="0055703F"/>
    <w:rsid w:val="00557EF4"/>
    <w:rsid w:val="005601E8"/>
    <w:rsid w:val="00562F4C"/>
    <w:rsid w:val="00562F6C"/>
    <w:rsid w:val="0056526B"/>
    <w:rsid w:val="005673D5"/>
    <w:rsid w:val="00571A28"/>
    <w:rsid w:val="00572767"/>
    <w:rsid w:val="00573B68"/>
    <w:rsid w:val="00574062"/>
    <w:rsid w:val="00575883"/>
    <w:rsid w:val="0057665E"/>
    <w:rsid w:val="00576904"/>
    <w:rsid w:val="005769B5"/>
    <w:rsid w:val="00577EB7"/>
    <w:rsid w:val="00583921"/>
    <w:rsid w:val="0058397D"/>
    <w:rsid w:val="00584202"/>
    <w:rsid w:val="00584791"/>
    <w:rsid w:val="00585740"/>
    <w:rsid w:val="00585791"/>
    <w:rsid w:val="005917C5"/>
    <w:rsid w:val="00591FB7"/>
    <w:rsid w:val="005920C5"/>
    <w:rsid w:val="00592B99"/>
    <w:rsid w:val="005A0C16"/>
    <w:rsid w:val="005A1208"/>
    <w:rsid w:val="005A1B92"/>
    <w:rsid w:val="005A39AB"/>
    <w:rsid w:val="005A3B3B"/>
    <w:rsid w:val="005A6DA9"/>
    <w:rsid w:val="005B09DA"/>
    <w:rsid w:val="005B0AD5"/>
    <w:rsid w:val="005B2282"/>
    <w:rsid w:val="005B41A2"/>
    <w:rsid w:val="005B4431"/>
    <w:rsid w:val="005B4B76"/>
    <w:rsid w:val="005B5E0C"/>
    <w:rsid w:val="005B6068"/>
    <w:rsid w:val="005B669B"/>
    <w:rsid w:val="005B75D3"/>
    <w:rsid w:val="005B7FC1"/>
    <w:rsid w:val="005B7FFC"/>
    <w:rsid w:val="005C0B7B"/>
    <w:rsid w:val="005C214D"/>
    <w:rsid w:val="005C2C9C"/>
    <w:rsid w:val="005C3FF7"/>
    <w:rsid w:val="005C5FDB"/>
    <w:rsid w:val="005C6014"/>
    <w:rsid w:val="005C6854"/>
    <w:rsid w:val="005D0BF1"/>
    <w:rsid w:val="005D1232"/>
    <w:rsid w:val="005D3D3C"/>
    <w:rsid w:val="005D5C40"/>
    <w:rsid w:val="005D64BC"/>
    <w:rsid w:val="005D672A"/>
    <w:rsid w:val="005D679F"/>
    <w:rsid w:val="005D6919"/>
    <w:rsid w:val="005D77C3"/>
    <w:rsid w:val="005D7A77"/>
    <w:rsid w:val="005D7AC4"/>
    <w:rsid w:val="005E019E"/>
    <w:rsid w:val="005E0B37"/>
    <w:rsid w:val="005E12D5"/>
    <w:rsid w:val="005E1AF3"/>
    <w:rsid w:val="005E5092"/>
    <w:rsid w:val="005E7F4B"/>
    <w:rsid w:val="005F13AE"/>
    <w:rsid w:val="005F2BE3"/>
    <w:rsid w:val="005F35E0"/>
    <w:rsid w:val="005F4BDD"/>
    <w:rsid w:val="005F75AD"/>
    <w:rsid w:val="00602BB3"/>
    <w:rsid w:val="00602D41"/>
    <w:rsid w:val="0060429D"/>
    <w:rsid w:val="00605726"/>
    <w:rsid w:val="00605929"/>
    <w:rsid w:val="0060647F"/>
    <w:rsid w:val="00606CB3"/>
    <w:rsid w:val="006117F6"/>
    <w:rsid w:val="00611BD9"/>
    <w:rsid w:val="00611E38"/>
    <w:rsid w:val="00612553"/>
    <w:rsid w:val="0061260E"/>
    <w:rsid w:val="0061386C"/>
    <w:rsid w:val="00613E68"/>
    <w:rsid w:val="00614C5A"/>
    <w:rsid w:val="00616DC7"/>
    <w:rsid w:val="006176CE"/>
    <w:rsid w:val="00621035"/>
    <w:rsid w:val="006214AC"/>
    <w:rsid w:val="00621C00"/>
    <w:rsid w:val="00624D84"/>
    <w:rsid w:val="0062539D"/>
    <w:rsid w:val="00627AD8"/>
    <w:rsid w:val="00631324"/>
    <w:rsid w:val="006313AD"/>
    <w:rsid w:val="00632C7F"/>
    <w:rsid w:val="0063554C"/>
    <w:rsid w:val="00635F91"/>
    <w:rsid w:val="0063726F"/>
    <w:rsid w:val="006408CC"/>
    <w:rsid w:val="00640DBA"/>
    <w:rsid w:val="00641C40"/>
    <w:rsid w:val="00642746"/>
    <w:rsid w:val="00642AE5"/>
    <w:rsid w:val="00642FEE"/>
    <w:rsid w:val="00643D37"/>
    <w:rsid w:val="00647D12"/>
    <w:rsid w:val="006526A8"/>
    <w:rsid w:val="00652FFD"/>
    <w:rsid w:val="0065621A"/>
    <w:rsid w:val="006566D3"/>
    <w:rsid w:val="006566E5"/>
    <w:rsid w:val="006568DF"/>
    <w:rsid w:val="00657155"/>
    <w:rsid w:val="006575A0"/>
    <w:rsid w:val="00660004"/>
    <w:rsid w:val="006600C0"/>
    <w:rsid w:val="00661F8F"/>
    <w:rsid w:val="006645F7"/>
    <w:rsid w:val="0066524E"/>
    <w:rsid w:val="006658A6"/>
    <w:rsid w:val="0067254E"/>
    <w:rsid w:val="0067482E"/>
    <w:rsid w:val="006808DA"/>
    <w:rsid w:val="00680DAC"/>
    <w:rsid w:val="00680E57"/>
    <w:rsid w:val="00680F59"/>
    <w:rsid w:val="006825A7"/>
    <w:rsid w:val="00682DE7"/>
    <w:rsid w:val="00683683"/>
    <w:rsid w:val="00683F39"/>
    <w:rsid w:val="00684532"/>
    <w:rsid w:val="00684572"/>
    <w:rsid w:val="006848DD"/>
    <w:rsid w:val="00685ACA"/>
    <w:rsid w:val="00690222"/>
    <w:rsid w:val="00690538"/>
    <w:rsid w:val="0069077A"/>
    <w:rsid w:val="00692D46"/>
    <w:rsid w:val="00694193"/>
    <w:rsid w:val="00695900"/>
    <w:rsid w:val="006961BB"/>
    <w:rsid w:val="006966B7"/>
    <w:rsid w:val="006A011A"/>
    <w:rsid w:val="006A0882"/>
    <w:rsid w:val="006A1809"/>
    <w:rsid w:val="006A2C55"/>
    <w:rsid w:val="006A37D6"/>
    <w:rsid w:val="006A3C32"/>
    <w:rsid w:val="006A5A23"/>
    <w:rsid w:val="006A6EF7"/>
    <w:rsid w:val="006A7853"/>
    <w:rsid w:val="006B0046"/>
    <w:rsid w:val="006B131D"/>
    <w:rsid w:val="006B1802"/>
    <w:rsid w:val="006B58F9"/>
    <w:rsid w:val="006B648E"/>
    <w:rsid w:val="006C06AA"/>
    <w:rsid w:val="006C20A2"/>
    <w:rsid w:val="006C29B4"/>
    <w:rsid w:val="006C2FA0"/>
    <w:rsid w:val="006C4057"/>
    <w:rsid w:val="006C4340"/>
    <w:rsid w:val="006C68FC"/>
    <w:rsid w:val="006C7975"/>
    <w:rsid w:val="006C7D03"/>
    <w:rsid w:val="006D12F0"/>
    <w:rsid w:val="006D231F"/>
    <w:rsid w:val="006D5018"/>
    <w:rsid w:val="006D69B6"/>
    <w:rsid w:val="006D76B4"/>
    <w:rsid w:val="006E40DB"/>
    <w:rsid w:val="006E4E5D"/>
    <w:rsid w:val="006E56EE"/>
    <w:rsid w:val="006E606A"/>
    <w:rsid w:val="006E71F4"/>
    <w:rsid w:val="006F0C46"/>
    <w:rsid w:val="006F268C"/>
    <w:rsid w:val="006F45CE"/>
    <w:rsid w:val="006F4760"/>
    <w:rsid w:val="006F6269"/>
    <w:rsid w:val="007000C0"/>
    <w:rsid w:val="00702D7D"/>
    <w:rsid w:val="00703A8E"/>
    <w:rsid w:val="00711512"/>
    <w:rsid w:val="007117E5"/>
    <w:rsid w:val="00712C9F"/>
    <w:rsid w:val="0071363C"/>
    <w:rsid w:val="00714887"/>
    <w:rsid w:val="00715CB7"/>
    <w:rsid w:val="0071707F"/>
    <w:rsid w:val="007177EA"/>
    <w:rsid w:val="00717868"/>
    <w:rsid w:val="00721D3C"/>
    <w:rsid w:val="00721E4C"/>
    <w:rsid w:val="00722D84"/>
    <w:rsid w:val="00726200"/>
    <w:rsid w:val="00726C4A"/>
    <w:rsid w:val="007275CF"/>
    <w:rsid w:val="00727E55"/>
    <w:rsid w:val="00731A5D"/>
    <w:rsid w:val="00734D57"/>
    <w:rsid w:val="00734E08"/>
    <w:rsid w:val="00736581"/>
    <w:rsid w:val="00740460"/>
    <w:rsid w:val="00741441"/>
    <w:rsid w:val="00741A05"/>
    <w:rsid w:val="00741F2D"/>
    <w:rsid w:val="00742487"/>
    <w:rsid w:val="007463F0"/>
    <w:rsid w:val="00747059"/>
    <w:rsid w:val="00747237"/>
    <w:rsid w:val="00747C9D"/>
    <w:rsid w:val="00753455"/>
    <w:rsid w:val="007536D2"/>
    <w:rsid w:val="00753C85"/>
    <w:rsid w:val="00753F43"/>
    <w:rsid w:val="00756BBC"/>
    <w:rsid w:val="00756F00"/>
    <w:rsid w:val="007611A4"/>
    <w:rsid w:val="007618EE"/>
    <w:rsid w:val="007629B7"/>
    <w:rsid w:val="00762E65"/>
    <w:rsid w:val="00764153"/>
    <w:rsid w:val="00765ACF"/>
    <w:rsid w:val="0076613E"/>
    <w:rsid w:val="007666AA"/>
    <w:rsid w:val="00766C76"/>
    <w:rsid w:val="007704FD"/>
    <w:rsid w:val="0077118F"/>
    <w:rsid w:val="007802F3"/>
    <w:rsid w:val="00780607"/>
    <w:rsid w:val="007817E4"/>
    <w:rsid w:val="00781F76"/>
    <w:rsid w:val="007847B8"/>
    <w:rsid w:val="00785F7D"/>
    <w:rsid w:val="0078716B"/>
    <w:rsid w:val="00787D62"/>
    <w:rsid w:val="00790173"/>
    <w:rsid w:val="007909B4"/>
    <w:rsid w:val="00790BBD"/>
    <w:rsid w:val="007917C2"/>
    <w:rsid w:val="00792276"/>
    <w:rsid w:val="00792F49"/>
    <w:rsid w:val="007931D8"/>
    <w:rsid w:val="007958E6"/>
    <w:rsid w:val="00796B98"/>
    <w:rsid w:val="007A1BB9"/>
    <w:rsid w:val="007A1C6A"/>
    <w:rsid w:val="007A2FD3"/>
    <w:rsid w:val="007A499B"/>
    <w:rsid w:val="007A4C4A"/>
    <w:rsid w:val="007A7437"/>
    <w:rsid w:val="007A7675"/>
    <w:rsid w:val="007B0011"/>
    <w:rsid w:val="007B0E71"/>
    <w:rsid w:val="007B0EB1"/>
    <w:rsid w:val="007B1AE1"/>
    <w:rsid w:val="007B2373"/>
    <w:rsid w:val="007B2EDC"/>
    <w:rsid w:val="007C0452"/>
    <w:rsid w:val="007C0942"/>
    <w:rsid w:val="007C1CDC"/>
    <w:rsid w:val="007C1DEC"/>
    <w:rsid w:val="007C3516"/>
    <w:rsid w:val="007C675C"/>
    <w:rsid w:val="007D02FA"/>
    <w:rsid w:val="007D250B"/>
    <w:rsid w:val="007D39B1"/>
    <w:rsid w:val="007D78D8"/>
    <w:rsid w:val="007E1C01"/>
    <w:rsid w:val="007E2611"/>
    <w:rsid w:val="007E3871"/>
    <w:rsid w:val="007E387A"/>
    <w:rsid w:val="007E45F5"/>
    <w:rsid w:val="007E50B0"/>
    <w:rsid w:val="007E5241"/>
    <w:rsid w:val="007F18FC"/>
    <w:rsid w:val="007F2465"/>
    <w:rsid w:val="007F4E37"/>
    <w:rsid w:val="007F5335"/>
    <w:rsid w:val="007F67C0"/>
    <w:rsid w:val="007F69E4"/>
    <w:rsid w:val="007F7063"/>
    <w:rsid w:val="0080099A"/>
    <w:rsid w:val="00800EFA"/>
    <w:rsid w:val="00801673"/>
    <w:rsid w:val="00804126"/>
    <w:rsid w:val="00804AA2"/>
    <w:rsid w:val="00805C1E"/>
    <w:rsid w:val="00807C9D"/>
    <w:rsid w:val="008115CE"/>
    <w:rsid w:val="00812344"/>
    <w:rsid w:val="0081581E"/>
    <w:rsid w:val="008213C9"/>
    <w:rsid w:val="00821C41"/>
    <w:rsid w:val="00824703"/>
    <w:rsid w:val="00824A5D"/>
    <w:rsid w:val="008253AD"/>
    <w:rsid w:val="008300F4"/>
    <w:rsid w:val="00830466"/>
    <w:rsid w:val="0083205B"/>
    <w:rsid w:val="0083430F"/>
    <w:rsid w:val="0083485C"/>
    <w:rsid w:val="00834B6E"/>
    <w:rsid w:val="00834DBB"/>
    <w:rsid w:val="008357F4"/>
    <w:rsid w:val="00835B48"/>
    <w:rsid w:val="00835B6A"/>
    <w:rsid w:val="00835D43"/>
    <w:rsid w:val="00841BC8"/>
    <w:rsid w:val="00843803"/>
    <w:rsid w:val="00844A54"/>
    <w:rsid w:val="00846B83"/>
    <w:rsid w:val="00852359"/>
    <w:rsid w:val="00852AE4"/>
    <w:rsid w:val="0085327F"/>
    <w:rsid w:val="00853D46"/>
    <w:rsid w:val="00860FAF"/>
    <w:rsid w:val="00861B72"/>
    <w:rsid w:val="00861EF8"/>
    <w:rsid w:val="008627CC"/>
    <w:rsid w:val="00862A92"/>
    <w:rsid w:val="008633A9"/>
    <w:rsid w:val="0086416B"/>
    <w:rsid w:val="008643ED"/>
    <w:rsid w:val="00865059"/>
    <w:rsid w:val="00865997"/>
    <w:rsid w:val="008722BA"/>
    <w:rsid w:val="0087243A"/>
    <w:rsid w:val="00874C4F"/>
    <w:rsid w:val="00874E93"/>
    <w:rsid w:val="00875EB5"/>
    <w:rsid w:val="00875F5E"/>
    <w:rsid w:val="0087620E"/>
    <w:rsid w:val="00877442"/>
    <w:rsid w:val="008775DD"/>
    <w:rsid w:val="00877F9E"/>
    <w:rsid w:val="008807DF"/>
    <w:rsid w:val="00881A1C"/>
    <w:rsid w:val="00881B8F"/>
    <w:rsid w:val="00881F3A"/>
    <w:rsid w:val="00883333"/>
    <w:rsid w:val="00885A3D"/>
    <w:rsid w:val="00887A1F"/>
    <w:rsid w:val="0089112F"/>
    <w:rsid w:val="0089303E"/>
    <w:rsid w:val="008937EF"/>
    <w:rsid w:val="00895F89"/>
    <w:rsid w:val="00896E21"/>
    <w:rsid w:val="00896F78"/>
    <w:rsid w:val="00897D9B"/>
    <w:rsid w:val="008A0515"/>
    <w:rsid w:val="008A0822"/>
    <w:rsid w:val="008A0AB8"/>
    <w:rsid w:val="008A277C"/>
    <w:rsid w:val="008A31C6"/>
    <w:rsid w:val="008A426A"/>
    <w:rsid w:val="008A43B8"/>
    <w:rsid w:val="008A4FF7"/>
    <w:rsid w:val="008A6330"/>
    <w:rsid w:val="008B06E1"/>
    <w:rsid w:val="008B0AC5"/>
    <w:rsid w:val="008B18A1"/>
    <w:rsid w:val="008B3479"/>
    <w:rsid w:val="008B493B"/>
    <w:rsid w:val="008B69F2"/>
    <w:rsid w:val="008B6AD2"/>
    <w:rsid w:val="008B7536"/>
    <w:rsid w:val="008C0794"/>
    <w:rsid w:val="008C1616"/>
    <w:rsid w:val="008C3738"/>
    <w:rsid w:val="008C4639"/>
    <w:rsid w:val="008D0508"/>
    <w:rsid w:val="008D0DA4"/>
    <w:rsid w:val="008D1178"/>
    <w:rsid w:val="008D17A0"/>
    <w:rsid w:val="008D1D6A"/>
    <w:rsid w:val="008D1FF0"/>
    <w:rsid w:val="008D3744"/>
    <w:rsid w:val="008D470C"/>
    <w:rsid w:val="008D5049"/>
    <w:rsid w:val="008D540F"/>
    <w:rsid w:val="008D574C"/>
    <w:rsid w:val="008D594E"/>
    <w:rsid w:val="008D5B3D"/>
    <w:rsid w:val="008D65DD"/>
    <w:rsid w:val="008D7999"/>
    <w:rsid w:val="008D7A07"/>
    <w:rsid w:val="008E04B1"/>
    <w:rsid w:val="008E0BB0"/>
    <w:rsid w:val="008E35CF"/>
    <w:rsid w:val="008E76E7"/>
    <w:rsid w:val="008F176B"/>
    <w:rsid w:val="008F250B"/>
    <w:rsid w:val="008F3063"/>
    <w:rsid w:val="008F3A52"/>
    <w:rsid w:val="008F3DF7"/>
    <w:rsid w:val="008F6E72"/>
    <w:rsid w:val="009001D9"/>
    <w:rsid w:val="0090038D"/>
    <w:rsid w:val="00903951"/>
    <w:rsid w:val="0090437F"/>
    <w:rsid w:val="00904476"/>
    <w:rsid w:val="00904C35"/>
    <w:rsid w:val="00906954"/>
    <w:rsid w:val="00906AE9"/>
    <w:rsid w:val="00911CCC"/>
    <w:rsid w:val="0091214B"/>
    <w:rsid w:val="00912E61"/>
    <w:rsid w:val="00913184"/>
    <w:rsid w:val="009131A3"/>
    <w:rsid w:val="009136B9"/>
    <w:rsid w:val="009136C9"/>
    <w:rsid w:val="00913B5E"/>
    <w:rsid w:val="00913E68"/>
    <w:rsid w:val="00915347"/>
    <w:rsid w:val="00915AAA"/>
    <w:rsid w:val="009168BA"/>
    <w:rsid w:val="009213D9"/>
    <w:rsid w:val="009224BD"/>
    <w:rsid w:val="009237D1"/>
    <w:rsid w:val="00930225"/>
    <w:rsid w:val="00931BCF"/>
    <w:rsid w:val="009356B4"/>
    <w:rsid w:val="00936AF3"/>
    <w:rsid w:val="00942EC4"/>
    <w:rsid w:val="009442B9"/>
    <w:rsid w:val="00945565"/>
    <w:rsid w:val="00946AF5"/>
    <w:rsid w:val="00952100"/>
    <w:rsid w:val="00952553"/>
    <w:rsid w:val="00953CC5"/>
    <w:rsid w:val="00953DC4"/>
    <w:rsid w:val="00954EA8"/>
    <w:rsid w:val="0095513C"/>
    <w:rsid w:val="0095515D"/>
    <w:rsid w:val="00956B40"/>
    <w:rsid w:val="00956DE1"/>
    <w:rsid w:val="009602F1"/>
    <w:rsid w:val="009605E2"/>
    <w:rsid w:val="00960963"/>
    <w:rsid w:val="00965F16"/>
    <w:rsid w:val="00966FA5"/>
    <w:rsid w:val="009700AE"/>
    <w:rsid w:val="00970171"/>
    <w:rsid w:val="0097196D"/>
    <w:rsid w:val="00972D50"/>
    <w:rsid w:val="009735BB"/>
    <w:rsid w:val="00975C5E"/>
    <w:rsid w:val="00977063"/>
    <w:rsid w:val="009805EA"/>
    <w:rsid w:val="00980A57"/>
    <w:rsid w:val="0098160C"/>
    <w:rsid w:val="00983324"/>
    <w:rsid w:val="00983F38"/>
    <w:rsid w:val="00986C98"/>
    <w:rsid w:val="00990570"/>
    <w:rsid w:val="009929DE"/>
    <w:rsid w:val="0099499F"/>
    <w:rsid w:val="00995905"/>
    <w:rsid w:val="00996F76"/>
    <w:rsid w:val="009974F1"/>
    <w:rsid w:val="00997AA2"/>
    <w:rsid w:val="009A0A3B"/>
    <w:rsid w:val="009A45A1"/>
    <w:rsid w:val="009A4A8D"/>
    <w:rsid w:val="009A5BD7"/>
    <w:rsid w:val="009A6148"/>
    <w:rsid w:val="009A62E8"/>
    <w:rsid w:val="009A659D"/>
    <w:rsid w:val="009A6AA5"/>
    <w:rsid w:val="009B3E67"/>
    <w:rsid w:val="009B4436"/>
    <w:rsid w:val="009B46FB"/>
    <w:rsid w:val="009B5036"/>
    <w:rsid w:val="009B51EE"/>
    <w:rsid w:val="009B5AA2"/>
    <w:rsid w:val="009B6C11"/>
    <w:rsid w:val="009C0C28"/>
    <w:rsid w:val="009C2BD0"/>
    <w:rsid w:val="009C3C89"/>
    <w:rsid w:val="009C4BC7"/>
    <w:rsid w:val="009C4CFF"/>
    <w:rsid w:val="009C51F8"/>
    <w:rsid w:val="009C5D86"/>
    <w:rsid w:val="009C61B5"/>
    <w:rsid w:val="009C6FAE"/>
    <w:rsid w:val="009D214D"/>
    <w:rsid w:val="009D2372"/>
    <w:rsid w:val="009D27F6"/>
    <w:rsid w:val="009D2D7F"/>
    <w:rsid w:val="009D2FE5"/>
    <w:rsid w:val="009D3F04"/>
    <w:rsid w:val="009D41B1"/>
    <w:rsid w:val="009D66A0"/>
    <w:rsid w:val="009D7042"/>
    <w:rsid w:val="009E009D"/>
    <w:rsid w:val="009E11AD"/>
    <w:rsid w:val="009E2274"/>
    <w:rsid w:val="009E2542"/>
    <w:rsid w:val="009E27A8"/>
    <w:rsid w:val="009E38FC"/>
    <w:rsid w:val="009E3BD2"/>
    <w:rsid w:val="009E48B4"/>
    <w:rsid w:val="009E529B"/>
    <w:rsid w:val="009E6AE1"/>
    <w:rsid w:val="009E795F"/>
    <w:rsid w:val="009E7CC2"/>
    <w:rsid w:val="009F2116"/>
    <w:rsid w:val="009F436A"/>
    <w:rsid w:val="009F56C0"/>
    <w:rsid w:val="009F6E04"/>
    <w:rsid w:val="009F7270"/>
    <w:rsid w:val="009F74BF"/>
    <w:rsid w:val="009F786E"/>
    <w:rsid w:val="009F7BCB"/>
    <w:rsid w:val="00A0252F"/>
    <w:rsid w:val="00A02B04"/>
    <w:rsid w:val="00A03579"/>
    <w:rsid w:val="00A039C2"/>
    <w:rsid w:val="00A11F4C"/>
    <w:rsid w:val="00A148EA"/>
    <w:rsid w:val="00A15169"/>
    <w:rsid w:val="00A152D4"/>
    <w:rsid w:val="00A15342"/>
    <w:rsid w:val="00A167D4"/>
    <w:rsid w:val="00A167D6"/>
    <w:rsid w:val="00A27798"/>
    <w:rsid w:val="00A27CF1"/>
    <w:rsid w:val="00A31671"/>
    <w:rsid w:val="00A327E7"/>
    <w:rsid w:val="00A33448"/>
    <w:rsid w:val="00A34D29"/>
    <w:rsid w:val="00A35697"/>
    <w:rsid w:val="00A35E29"/>
    <w:rsid w:val="00A36E2C"/>
    <w:rsid w:val="00A37706"/>
    <w:rsid w:val="00A3777C"/>
    <w:rsid w:val="00A43B53"/>
    <w:rsid w:val="00A43DF7"/>
    <w:rsid w:val="00A43EB4"/>
    <w:rsid w:val="00A4490B"/>
    <w:rsid w:val="00A45F36"/>
    <w:rsid w:val="00A47C9B"/>
    <w:rsid w:val="00A507DA"/>
    <w:rsid w:val="00A51948"/>
    <w:rsid w:val="00A519E9"/>
    <w:rsid w:val="00A55766"/>
    <w:rsid w:val="00A55962"/>
    <w:rsid w:val="00A57258"/>
    <w:rsid w:val="00A57E6A"/>
    <w:rsid w:val="00A6183E"/>
    <w:rsid w:val="00A63FBD"/>
    <w:rsid w:val="00A64C1E"/>
    <w:rsid w:val="00A71764"/>
    <w:rsid w:val="00A71F91"/>
    <w:rsid w:val="00A728A8"/>
    <w:rsid w:val="00A750C5"/>
    <w:rsid w:val="00A761DB"/>
    <w:rsid w:val="00A76F10"/>
    <w:rsid w:val="00A80769"/>
    <w:rsid w:val="00A815D3"/>
    <w:rsid w:val="00A8184E"/>
    <w:rsid w:val="00A8259B"/>
    <w:rsid w:val="00A85B20"/>
    <w:rsid w:val="00A85E58"/>
    <w:rsid w:val="00A862B6"/>
    <w:rsid w:val="00A8656E"/>
    <w:rsid w:val="00A87E10"/>
    <w:rsid w:val="00A9017D"/>
    <w:rsid w:val="00A90A45"/>
    <w:rsid w:val="00A91724"/>
    <w:rsid w:val="00A91783"/>
    <w:rsid w:val="00A91A96"/>
    <w:rsid w:val="00A93B77"/>
    <w:rsid w:val="00A944D4"/>
    <w:rsid w:val="00AA0625"/>
    <w:rsid w:val="00AA1750"/>
    <w:rsid w:val="00AA180F"/>
    <w:rsid w:val="00AA1DB6"/>
    <w:rsid w:val="00AA37F4"/>
    <w:rsid w:val="00AA41A3"/>
    <w:rsid w:val="00AA4811"/>
    <w:rsid w:val="00AA4A6F"/>
    <w:rsid w:val="00AA5344"/>
    <w:rsid w:val="00AA5DBD"/>
    <w:rsid w:val="00AB01C8"/>
    <w:rsid w:val="00AB15F9"/>
    <w:rsid w:val="00AB3B63"/>
    <w:rsid w:val="00AB3CE2"/>
    <w:rsid w:val="00AB3E6D"/>
    <w:rsid w:val="00AB3F97"/>
    <w:rsid w:val="00AB5AF7"/>
    <w:rsid w:val="00AB6841"/>
    <w:rsid w:val="00AB7B89"/>
    <w:rsid w:val="00AC0180"/>
    <w:rsid w:val="00AC15A1"/>
    <w:rsid w:val="00AC263B"/>
    <w:rsid w:val="00AC2A67"/>
    <w:rsid w:val="00AC3A7A"/>
    <w:rsid w:val="00AC3E32"/>
    <w:rsid w:val="00AC50E1"/>
    <w:rsid w:val="00AC75D7"/>
    <w:rsid w:val="00AD02FD"/>
    <w:rsid w:val="00AD267D"/>
    <w:rsid w:val="00AD2EB0"/>
    <w:rsid w:val="00AD355E"/>
    <w:rsid w:val="00AD661D"/>
    <w:rsid w:val="00AD74DD"/>
    <w:rsid w:val="00AE0326"/>
    <w:rsid w:val="00AE31A7"/>
    <w:rsid w:val="00AE40F1"/>
    <w:rsid w:val="00AE4911"/>
    <w:rsid w:val="00AE53A3"/>
    <w:rsid w:val="00AE5745"/>
    <w:rsid w:val="00AF0348"/>
    <w:rsid w:val="00AF1A95"/>
    <w:rsid w:val="00AF1F8C"/>
    <w:rsid w:val="00AF2AA6"/>
    <w:rsid w:val="00AF3175"/>
    <w:rsid w:val="00AF4DF9"/>
    <w:rsid w:val="00AF6362"/>
    <w:rsid w:val="00AF7DC1"/>
    <w:rsid w:val="00B0539E"/>
    <w:rsid w:val="00B05622"/>
    <w:rsid w:val="00B108A2"/>
    <w:rsid w:val="00B11936"/>
    <w:rsid w:val="00B120DF"/>
    <w:rsid w:val="00B12177"/>
    <w:rsid w:val="00B14926"/>
    <w:rsid w:val="00B152B7"/>
    <w:rsid w:val="00B16A74"/>
    <w:rsid w:val="00B172A6"/>
    <w:rsid w:val="00B20ED1"/>
    <w:rsid w:val="00B219C8"/>
    <w:rsid w:val="00B2376C"/>
    <w:rsid w:val="00B23808"/>
    <w:rsid w:val="00B24198"/>
    <w:rsid w:val="00B243D5"/>
    <w:rsid w:val="00B24976"/>
    <w:rsid w:val="00B2528B"/>
    <w:rsid w:val="00B25A8C"/>
    <w:rsid w:val="00B26128"/>
    <w:rsid w:val="00B26236"/>
    <w:rsid w:val="00B26BE2"/>
    <w:rsid w:val="00B27183"/>
    <w:rsid w:val="00B308F3"/>
    <w:rsid w:val="00B3122D"/>
    <w:rsid w:val="00B31C27"/>
    <w:rsid w:val="00B328DA"/>
    <w:rsid w:val="00B32D47"/>
    <w:rsid w:val="00B348E3"/>
    <w:rsid w:val="00B36008"/>
    <w:rsid w:val="00B36047"/>
    <w:rsid w:val="00B3664C"/>
    <w:rsid w:val="00B37822"/>
    <w:rsid w:val="00B378BD"/>
    <w:rsid w:val="00B37CA6"/>
    <w:rsid w:val="00B40425"/>
    <w:rsid w:val="00B43B6C"/>
    <w:rsid w:val="00B443E5"/>
    <w:rsid w:val="00B44519"/>
    <w:rsid w:val="00B46EA4"/>
    <w:rsid w:val="00B479D8"/>
    <w:rsid w:val="00B509E8"/>
    <w:rsid w:val="00B5227E"/>
    <w:rsid w:val="00B5344B"/>
    <w:rsid w:val="00B5351F"/>
    <w:rsid w:val="00B53589"/>
    <w:rsid w:val="00B53D1A"/>
    <w:rsid w:val="00B53E85"/>
    <w:rsid w:val="00B551DB"/>
    <w:rsid w:val="00B564BE"/>
    <w:rsid w:val="00B61A8E"/>
    <w:rsid w:val="00B61D52"/>
    <w:rsid w:val="00B635C4"/>
    <w:rsid w:val="00B63C65"/>
    <w:rsid w:val="00B63E4F"/>
    <w:rsid w:val="00B6431F"/>
    <w:rsid w:val="00B647A1"/>
    <w:rsid w:val="00B6496E"/>
    <w:rsid w:val="00B709FD"/>
    <w:rsid w:val="00B71DAE"/>
    <w:rsid w:val="00B7289F"/>
    <w:rsid w:val="00B7379F"/>
    <w:rsid w:val="00B74AB0"/>
    <w:rsid w:val="00B7579A"/>
    <w:rsid w:val="00B761D4"/>
    <w:rsid w:val="00B762EB"/>
    <w:rsid w:val="00B76D07"/>
    <w:rsid w:val="00B76F78"/>
    <w:rsid w:val="00B7734C"/>
    <w:rsid w:val="00B800E2"/>
    <w:rsid w:val="00B81F0A"/>
    <w:rsid w:val="00B82547"/>
    <w:rsid w:val="00B83C0C"/>
    <w:rsid w:val="00B85F10"/>
    <w:rsid w:val="00B86670"/>
    <w:rsid w:val="00B872E8"/>
    <w:rsid w:val="00B87768"/>
    <w:rsid w:val="00B939FA"/>
    <w:rsid w:val="00B93AB7"/>
    <w:rsid w:val="00BA12EA"/>
    <w:rsid w:val="00BA2AAC"/>
    <w:rsid w:val="00BA2C09"/>
    <w:rsid w:val="00BA364E"/>
    <w:rsid w:val="00BA4473"/>
    <w:rsid w:val="00BA47FE"/>
    <w:rsid w:val="00BA4BA0"/>
    <w:rsid w:val="00BA50D7"/>
    <w:rsid w:val="00BA693A"/>
    <w:rsid w:val="00BA6EF2"/>
    <w:rsid w:val="00BA7EB0"/>
    <w:rsid w:val="00BB0639"/>
    <w:rsid w:val="00BB10FA"/>
    <w:rsid w:val="00BB15BF"/>
    <w:rsid w:val="00BB1A1E"/>
    <w:rsid w:val="00BB20B1"/>
    <w:rsid w:val="00BB4674"/>
    <w:rsid w:val="00BB54F8"/>
    <w:rsid w:val="00BB560D"/>
    <w:rsid w:val="00BB7CCC"/>
    <w:rsid w:val="00BB7D89"/>
    <w:rsid w:val="00BC1059"/>
    <w:rsid w:val="00BC12A1"/>
    <w:rsid w:val="00BC3EC4"/>
    <w:rsid w:val="00BC6669"/>
    <w:rsid w:val="00BC75B7"/>
    <w:rsid w:val="00BD135B"/>
    <w:rsid w:val="00BD36D5"/>
    <w:rsid w:val="00BD3B2F"/>
    <w:rsid w:val="00BD4314"/>
    <w:rsid w:val="00BD4E56"/>
    <w:rsid w:val="00BD53FE"/>
    <w:rsid w:val="00BD7956"/>
    <w:rsid w:val="00BE2BD4"/>
    <w:rsid w:val="00BE3814"/>
    <w:rsid w:val="00BE52E9"/>
    <w:rsid w:val="00BE6879"/>
    <w:rsid w:val="00BE70F3"/>
    <w:rsid w:val="00BF0709"/>
    <w:rsid w:val="00BF4925"/>
    <w:rsid w:val="00BF6828"/>
    <w:rsid w:val="00C017FD"/>
    <w:rsid w:val="00C02EBE"/>
    <w:rsid w:val="00C036EE"/>
    <w:rsid w:val="00C03FAE"/>
    <w:rsid w:val="00C0436E"/>
    <w:rsid w:val="00C064D3"/>
    <w:rsid w:val="00C1015A"/>
    <w:rsid w:val="00C1079B"/>
    <w:rsid w:val="00C1162F"/>
    <w:rsid w:val="00C14601"/>
    <w:rsid w:val="00C147A7"/>
    <w:rsid w:val="00C15B76"/>
    <w:rsid w:val="00C15D4D"/>
    <w:rsid w:val="00C16894"/>
    <w:rsid w:val="00C207CC"/>
    <w:rsid w:val="00C212A1"/>
    <w:rsid w:val="00C219C3"/>
    <w:rsid w:val="00C220FD"/>
    <w:rsid w:val="00C237E6"/>
    <w:rsid w:val="00C24DD5"/>
    <w:rsid w:val="00C25217"/>
    <w:rsid w:val="00C308DD"/>
    <w:rsid w:val="00C31383"/>
    <w:rsid w:val="00C317FF"/>
    <w:rsid w:val="00C318AE"/>
    <w:rsid w:val="00C3464D"/>
    <w:rsid w:val="00C348CD"/>
    <w:rsid w:val="00C355BF"/>
    <w:rsid w:val="00C40A7A"/>
    <w:rsid w:val="00C40B90"/>
    <w:rsid w:val="00C4168B"/>
    <w:rsid w:val="00C4189C"/>
    <w:rsid w:val="00C42D25"/>
    <w:rsid w:val="00C4307B"/>
    <w:rsid w:val="00C43FDD"/>
    <w:rsid w:val="00C44075"/>
    <w:rsid w:val="00C447ED"/>
    <w:rsid w:val="00C44BF3"/>
    <w:rsid w:val="00C46BA0"/>
    <w:rsid w:val="00C4739B"/>
    <w:rsid w:val="00C505EF"/>
    <w:rsid w:val="00C50E3D"/>
    <w:rsid w:val="00C530AA"/>
    <w:rsid w:val="00C5320B"/>
    <w:rsid w:val="00C541C2"/>
    <w:rsid w:val="00C55ED1"/>
    <w:rsid w:val="00C6068F"/>
    <w:rsid w:val="00C607C1"/>
    <w:rsid w:val="00C61475"/>
    <w:rsid w:val="00C62D3D"/>
    <w:rsid w:val="00C639D8"/>
    <w:rsid w:val="00C66142"/>
    <w:rsid w:val="00C66AAF"/>
    <w:rsid w:val="00C67C13"/>
    <w:rsid w:val="00C70AF8"/>
    <w:rsid w:val="00C71138"/>
    <w:rsid w:val="00C72654"/>
    <w:rsid w:val="00C733FB"/>
    <w:rsid w:val="00C7509F"/>
    <w:rsid w:val="00C774E2"/>
    <w:rsid w:val="00C776C7"/>
    <w:rsid w:val="00C80C24"/>
    <w:rsid w:val="00C815E5"/>
    <w:rsid w:val="00C840BF"/>
    <w:rsid w:val="00C8440B"/>
    <w:rsid w:val="00C85E19"/>
    <w:rsid w:val="00C86A11"/>
    <w:rsid w:val="00C901B7"/>
    <w:rsid w:val="00C935C8"/>
    <w:rsid w:val="00C939E1"/>
    <w:rsid w:val="00C93FB1"/>
    <w:rsid w:val="00C96B54"/>
    <w:rsid w:val="00C97139"/>
    <w:rsid w:val="00C97192"/>
    <w:rsid w:val="00C97267"/>
    <w:rsid w:val="00CA030C"/>
    <w:rsid w:val="00CA048C"/>
    <w:rsid w:val="00CA068C"/>
    <w:rsid w:val="00CA4D00"/>
    <w:rsid w:val="00CA521E"/>
    <w:rsid w:val="00CA5F6F"/>
    <w:rsid w:val="00CA681F"/>
    <w:rsid w:val="00CA7940"/>
    <w:rsid w:val="00CA7957"/>
    <w:rsid w:val="00CB0056"/>
    <w:rsid w:val="00CB33DC"/>
    <w:rsid w:val="00CB6703"/>
    <w:rsid w:val="00CB7EE0"/>
    <w:rsid w:val="00CC04F6"/>
    <w:rsid w:val="00CC0C50"/>
    <w:rsid w:val="00CC2C88"/>
    <w:rsid w:val="00CC5250"/>
    <w:rsid w:val="00CC7035"/>
    <w:rsid w:val="00CC7177"/>
    <w:rsid w:val="00CD18DD"/>
    <w:rsid w:val="00CD1DCA"/>
    <w:rsid w:val="00CD3E8B"/>
    <w:rsid w:val="00CD3F78"/>
    <w:rsid w:val="00CD51A6"/>
    <w:rsid w:val="00CD550C"/>
    <w:rsid w:val="00CD57E1"/>
    <w:rsid w:val="00CE12CC"/>
    <w:rsid w:val="00CE58F1"/>
    <w:rsid w:val="00CE6467"/>
    <w:rsid w:val="00CE7AD5"/>
    <w:rsid w:val="00CF21C7"/>
    <w:rsid w:val="00CF3E4D"/>
    <w:rsid w:val="00CF4B1A"/>
    <w:rsid w:val="00CF75E9"/>
    <w:rsid w:val="00D00259"/>
    <w:rsid w:val="00D029C8"/>
    <w:rsid w:val="00D02F9D"/>
    <w:rsid w:val="00D04DB1"/>
    <w:rsid w:val="00D05D09"/>
    <w:rsid w:val="00D06AB3"/>
    <w:rsid w:val="00D11C99"/>
    <w:rsid w:val="00D11F21"/>
    <w:rsid w:val="00D12BCD"/>
    <w:rsid w:val="00D1356D"/>
    <w:rsid w:val="00D13C9C"/>
    <w:rsid w:val="00D15C5F"/>
    <w:rsid w:val="00D166A8"/>
    <w:rsid w:val="00D1752E"/>
    <w:rsid w:val="00D2088A"/>
    <w:rsid w:val="00D208A8"/>
    <w:rsid w:val="00D210B4"/>
    <w:rsid w:val="00D2151F"/>
    <w:rsid w:val="00D21F44"/>
    <w:rsid w:val="00D240BD"/>
    <w:rsid w:val="00D2514A"/>
    <w:rsid w:val="00D2545A"/>
    <w:rsid w:val="00D26E2D"/>
    <w:rsid w:val="00D26F13"/>
    <w:rsid w:val="00D27AC3"/>
    <w:rsid w:val="00D323CA"/>
    <w:rsid w:val="00D337C6"/>
    <w:rsid w:val="00D36149"/>
    <w:rsid w:val="00D3615B"/>
    <w:rsid w:val="00D41E0E"/>
    <w:rsid w:val="00D41E25"/>
    <w:rsid w:val="00D43DE2"/>
    <w:rsid w:val="00D443B6"/>
    <w:rsid w:val="00D44C1B"/>
    <w:rsid w:val="00D4501F"/>
    <w:rsid w:val="00D46BBE"/>
    <w:rsid w:val="00D47D24"/>
    <w:rsid w:val="00D52423"/>
    <w:rsid w:val="00D54263"/>
    <w:rsid w:val="00D56BB9"/>
    <w:rsid w:val="00D579BA"/>
    <w:rsid w:val="00D62546"/>
    <w:rsid w:val="00D626F6"/>
    <w:rsid w:val="00D62F7C"/>
    <w:rsid w:val="00D63403"/>
    <w:rsid w:val="00D636BF"/>
    <w:rsid w:val="00D66565"/>
    <w:rsid w:val="00D667DE"/>
    <w:rsid w:val="00D67465"/>
    <w:rsid w:val="00D674E6"/>
    <w:rsid w:val="00D676A6"/>
    <w:rsid w:val="00D67DA3"/>
    <w:rsid w:val="00D7421E"/>
    <w:rsid w:val="00D7475E"/>
    <w:rsid w:val="00D75BBA"/>
    <w:rsid w:val="00D80380"/>
    <w:rsid w:val="00D816E0"/>
    <w:rsid w:val="00D846DB"/>
    <w:rsid w:val="00D85223"/>
    <w:rsid w:val="00D85F2E"/>
    <w:rsid w:val="00D87750"/>
    <w:rsid w:val="00D90013"/>
    <w:rsid w:val="00D941EC"/>
    <w:rsid w:val="00D95899"/>
    <w:rsid w:val="00D95A41"/>
    <w:rsid w:val="00DA03D7"/>
    <w:rsid w:val="00DA1184"/>
    <w:rsid w:val="00DA23A5"/>
    <w:rsid w:val="00DA474C"/>
    <w:rsid w:val="00DA69BF"/>
    <w:rsid w:val="00DB0051"/>
    <w:rsid w:val="00DB06C6"/>
    <w:rsid w:val="00DB0E26"/>
    <w:rsid w:val="00DB103B"/>
    <w:rsid w:val="00DB1072"/>
    <w:rsid w:val="00DB1DC8"/>
    <w:rsid w:val="00DB3730"/>
    <w:rsid w:val="00DB402E"/>
    <w:rsid w:val="00DB449A"/>
    <w:rsid w:val="00DB6879"/>
    <w:rsid w:val="00DB6DDE"/>
    <w:rsid w:val="00DC2B29"/>
    <w:rsid w:val="00DC46A3"/>
    <w:rsid w:val="00DC4D01"/>
    <w:rsid w:val="00DD0548"/>
    <w:rsid w:val="00DD2051"/>
    <w:rsid w:val="00DD417F"/>
    <w:rsid w:val="00DD4DE1"/>
    <w:rsid w:val="00DD554E"/>
    <w:rsid w:val="00DD5B0A"/>
    <w:rsid w:val="00DD6048"/>
    <w:rsid w:val="00DD6296"/>
    <w:rsid w:val="00DD6B7B"/>
    <w:rsid w:val="00DD6C86"/>
    <w:rsid w:val="00DD7CD5"/>
    <w:rsid w:val="00DE11FC"/>
    <w:rsid w:val="00DE1486"/>
    <w:rsid w:val="00DE3C24"/>
    <w:rsid w:val="00DE501A"/>
    <w:rsid w:val="00DE66A8"/>
    <w:rsid w:val="00DE72DB"/>
    <w:rsid w:val="00DF0962"/>
    <w:rsid w:val="00DF13F9"/>
    <w:rsid w:val="00DF15F2"/>
    <w:rsid w:val="00DF316C"/>
    <w:rsid w:val="00DF3825"/>
    <w:rsid w:val="00DF4AB2"/>
    <w:rsid w:val="00DF4EED"/>
    <w:rsid w:val="00DF7414"/>
    <w:rsid w:val="00DF7CDA"/>
    <w:rsid w:val="00E01377"/>
    <w:rsid w:val="00E02436"/>
    <w:rsid w:val="00E02B32"/>
    <w:rsid w:val="00E03489"/>
    <w:rsid w:val="00E04164"/>
    <w:rsid w:val="00E04623"/>
    <w:rsid w:val="00E05248"/>
    <w:rsid w:val="00E052E7"/>
    <w:rsid w:val="00E05A26"/>
    <w:rsid w:val="00E06E64"/>
    <w:rsid w:val="00E07411"/>
    <w:rsid w:val="00E10854"/>
    <w:rsid w:val="00E136F4"/>
    <w:rsid w:val="00E13BD3"/>
    <w:rsid w:val="00E158B7"/>
    <w:rsid w:val="00E15913"/>
    <w:rsid w:val="00E16572"/>
    <w:rsid w:val="00E16F46"/>
    <w:rsid w:val="00E20156"/>
    <w:rsid w:val="00E2065F"/>
    <w:rsid w:val="00E21F56"/>
    <w:rsid w:val="00E2211E"/>
    <w:rsid w:val="00E22B9F"/>
    <w:rsid w:val="00E24147"/>
    <w:rsid w:val="00E24D30"/>
    <w:rsid w:val="00E256E3"/>
    <w:rsid w:val="00E26026"/>
    <w:rsid w:val="00E27B81"/>
    <w:rsid w:val="00E3340A"/>
    <w:rsid w:val="00E338B5"/>
    <w:rsid w:val="00E34CEA"/>
    <w:rsid w:val="00E3535F"/>
    <w:rsid w:val="00E36D91"/>
    <w:rsid w:val="00E37096"/>
    <w:rsid w:val="00E44359"/>
    <w:rsid w:val="00E443FD"/>
    <w:rsid w:val="00E4503F"/>
    <w:rsid w:val="00E45D93"/>
    <w:rsid w:val="00E46794"/>
    <w:rsid w:val="00E469AE"/>
    <w:rsid w:val="00E47E94"/>
    <w:rsid w:val="00E509A1"/>
    <w:rsid w:val="00E511E0"/>
    <w:rsid w:val="00E53769"/>
    <w:rsid w:val="00E53854"/>
    <w:rsid w:val="00E54299"/>
    <w:rsid w:val="00E54B1B"/>
    <w:rsid w:val="00E556C5"/>
    <w:rsid w:val="00E56502"/>
    <w:rsid w:val="00E573E9"/>
    <w:rsid w:val="00E578F5"/>
    <w:rsid w:val="00E60FE6"/>
    <w:rsid w:val="00E61665"/>
    <w:rsid w:val="00E63AAC"/>
    <w:rsid w:val="00E63D68"/>
    <w:rsid w:val="00E656D7"/>
    <w:rsid w:val="00E73437"/>
    <w:rsid w:val="00E7410F"/>
    <w:rsid w:val="00E74A50"/>
    <w:rsid w:val="00E7564E"/>
    <w:rsid w:val="00E76548"/>
    <w:rsid w:val="00E76D7C"/>
    <w:rsid w:val="00E76F9F"/>
    <w:rsid w:val="00E81C2D"/>
    <w:rsid w:val="00E82C60"/>
    <w:rsid w:val="00E87706"/>
    <w:rsid w:val="00E87989"/>
    <w:rsid w:val="00E91219"/>
    <w:rsid w:val="00E920D4"/>
    <w:rsid w:val="00E92100"/>
    <w:rsid w:val="00E92F6C"/>
    <w:rsid w:val="00E9432B"/>
    <w:rsid w:val="00E961D3"/>
    <w:rsid w:val="00E9625A"/>
    <w:rsid w:val="00E96A36"/>
    <w:rsid w:val="00EA0340"/>
    <w:rsid w:val="00EA257B"/>
    <w:rsid w:val="00EA2881"/>
    <w:rsid w:val="00EA35D1"/>
    <w:rsid w:val="00EA363F"/>
    <w:rsid w:val="00EA4024"/>
    <w:rsid w:val="00EA56A2"/>
    <w:rsid w:val="00EA65FF"/>
    <w:rsid w:val="00EB016D"/>
    <w:rsid w:val="00EB0883"/>
    <w:rsid w:val="00EB140D"/>
    <w:rsid w:val="00EB1C65"/>
    <w:rsid w:val="00EB2FCD"/>
    <w:rsid w:val="00EB5D30"/>
    <w:rsid w:val="00EB689B"/>
    <w:rsid w:val="00EB706F"/>
    <w:rsid w:val="00EC06D2"/>
    <w:rsid w:val="00EC0839"/>
    <w:rsid w:val="00EC1148"/>
    <w:rsid w:val="00EC29F9"/>
    <w:rsid w:val="00EC2C25"/>
    <w:rsid w:val="00EC6F62"/>
    <w:rsid w:val="00ED137B"/>
    <w:rsid w:val="00ED251E"/>
    <w:rsid w:val="00ED255C"/>
    <w:rsid w:val="00ED39BA"/>
    <w:rsid w:val="00ED567C"/>
    <w:rsid w:val="00EE1F6C"/>
    <w:rsid w:val="00EE299D"/>
    <w:rsid w:val="00EE31ED"/>
    <w:rsid w:val="00EE383B"/>
    <w:rsid w:val="00EE3F9A"/>
    <w:rsid w:val="00EE46B5"/>
    <w:rsid w:val="00EE4D06"/>
    <w:rsid w:val="00EE5097"/>
    <w:rsid w:val="00EE5225"/>
    <w:rsid w:val="00EE74D3"/>
    <w:rsid w:val="00EF01FB"/>
    <w:rsid w:val="00EF0F33"/>
    <w:rsid w:val="00EF68FE"/>
    <w:rsid w:val="00EF6F3B"/>
    <w:rsid w:val="00F02E11"/>
    <w:rsid w:val="00F0300F"/>
    <w:rsid w:val="00F03908"/>
    <w:rsid w:val="00F03B1B"/>
    <w:rsid w:val="00F04CAE"/>
    <w:rsid w:val="00F0600E"/>
    <w:rsid w:val="00F06411"/>
    <w:rsid w:val="00F10880"/>
    <w:rsid w:val="00F12FAE"/>
    <w:rsid w:val="00F1344E"/>
    <w:rsid w:val="00F154C9"/>
    <w:rsid w:val="00F155C3"/>
    <w:rsid w:val="00F15877"/>
    <w:rsid w:val="00F15EBE"/>
    <w:rsid w:val="00F174B6"/>
    <w:rsid w:val="00F1774C"/>
    <w:rsid w:val="00F22C9D"/>
    <w:rsid w:val="00F24ADF"/>
    <w:rsid w:val="00F24C14"/>
    <w:rsid w:val="00F25429"/>
    <w:rsid w:val="00F25830"/>
    <w:rsid w:val="00F269FB"/>
    <w:rsid w:val="00F27229"/>
    <w:rsid w:val="00F30AEB"/>
    <w:rsid w:val="00F31310"/>
    <w:rsid w:val="00F3319F"/>
    <w:rsid w:val="00F352EF"/>
    <w:rsid w:val="00F36684"/>
    <w:rsid w:val="00F410FF"/>
    <w:rsid w:val="00F411D5"/>
    <w:rsid w:val="00F4264A"/>
    <w:rsid w:val="00F435AC"/>
    <w:rsid w:val="00F44967"/>
    <w:rsid w:val="00F45672"/>
    <w:rsid w:val="00F46CCC"/>
    <w:rsid w:val="00F516D1"/>
    <w:rsid w:val="00F5244A"/>
    <w:rsid w:val="00F531B1"/>
    <w:rsid w:val="00F55E38"/>
    <w:rsid w:val="00F56720"/>
    <w:rsid w:val="00F57141"/>
    <w:rsid w:val="00F574AC"/>
    <w:rsid w:val="00F60940"/>
    <w:rsid w:val="00F60FEA"/>
    <w:rsid w:val="00F6103C"/>
    <w:rsid w:val="00F63633"/>
    <w:rsid w:val="00F6470E"/>
    <w:rsid w:val="00F66D50"/>
    <w:rsid w:val="00F716BC"/>
    <w:rsid w:val="00F71E68"/>
    <w:rsid w:val="00F737A0"/>
    <w:rsid w:val="00F73FB7"/>
    <w:rsid w:val="00F7490D"/>
    <w:rsid w:val="00F77B91"/>
    <w:rsid w:val="00F81D0E"/>
    <w:rsid w:val="00F83828"/>
    <w:rsid w:val="00F851DE"/>
    <w:rsid w:val="00F85351"/>
    <w:rsid w:val="00F86CFB"/>
    <w:rsid w:val="00F87DAD"/>
    <w:rsid w:val="00F9149F"/>
    <w:rsid w:val="00F9326F"/>
    <w:rsid w:val="00F9490E"/>
    <w:rsid w:val="00F94C6C"/>
    <w:rsid w:val="00F96DBE"/>
    <w:rsid w:val="00F97EAA"/>
    <w:rsid w:val="00FA00E4"/>
    <w:rsid w:val="00FA0400"/>
    <w:rsid w:val="00FA1026"/>
    <w:rsid w:val="00FA2283"/>
    <w:rsid w:val="00FA2E93"/>
    <w:rsid w:val="00FA2F99"/>
    <w:rsid w:val="00FA37F1"/>
    <w:rsid w:val="00FA3C3A"/>
    <w:rsid w:val="00FA4BD8"/>
    <w:rsid w:val="00FA542E"/>
    <w:rsid w:val="00FA7846"/>
    <w:rsid w:val="00FA7CD7"/>
    <w:rsid w:val="00FB0495"/>
    <w:rsid w:val="00FB1756"/>
    <w:rsid w:val="00FB47DD"/>
    <w:rsid w:val="00FB4B47"/>
    <w:rsid w:val="00FB7C67"/>
    <w:rsid w:val="00FC18C6"/>
    <w:rsid w:val="00FC19AB"/>
    <w:rsid w:val="00FC19B7"/>
    <w:rsid w:val="00FC1DB3"/>
    <w:rsid w:val="00FC21D6"/>
    <w:rsid w:val="00FC320F"/>
    <w:rsid w:val="00FC3753"/>
    <w:rsid w:val="00FC504D"/>
    <w:rsid w:val="00FC57E4"/>
    <w:rsid w:val="00FC78A2"/>
    <w:rsid w:val="00FD1ED4"/>
    <w:rsid w:val="00FD2F90"/>
    <w:rsid w:val="00FD44C6"/>
    <w:rsid w:val="00FD62EB"/>
    <w:rsid w:val="00FE08B5"/>
    <w:rsid w:val="00FE0D4D"/>
    <w:rsid w:val="00FE3ACC"/>
    <w:rsid w:val="00FE3F44"/>
    <w:rsid w:val="00FE556E"/>
    <w:rsid w:val="00FF1C72"/>
    <w:rsid w:val="00FF2D2F"/>
    <w:rsid w:val="00FF63D1"/>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EEA7676"/>
  <w14:defaultImageDpi w14:val="330"/>
  <w15:chartTrackingRefBased/>
  <w15:docId w15:val="{F726D67A-9C51-46AA-8D9D-4C7DC875E8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SimSun"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6">
    <w:lsdException w:name="Normal" w:uiPriority="0"/>
    <w:lsdException w:name="heading 1" w:uiPriority="9"/>
    <w:lsdException w:name="heading 2" w:semiHidden="1" w:uiPriority="9" w:unhideWhenUsed="1"/>
    <w:lsdException w:name="heading 3" w:semiHidden="1" w:uiPriority="9" w:unhideWhenUsed="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qFormat="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0"/>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qFormat="1"/>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qFormat="1"/>
    <w:lsdException w:name="Intense Reference" w:uiPriority="32"/>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0C2F32"/>
    <w:pPr>
      <w:jc w:val="both"/>
    </w:pPr>
    <w:rPr>
      <w:rFonts w:asciiTheme="majorHAnsi" w:hAnsiTheme="majorHAnsi"/>
      <w:color w:val="1D3C5A"/>
      <w:sz w:val="20"/>
    </w:rPr>
  </w:style>
  <w:style w:type="paragraph" w:styleId="Ttulo1">
    <w:name w:val="heading 1"/>
    <w:aliases w:val="051,Heading 1 Char1 Char,Heading 1 Char Char Char,Heading 1 Char1 Char Char Char,Heading 1 Char Char Char Char Char,Heading 1 Char1 Char Char Char Char Char,Heading 1 Char Char Char Char Char Char Char,Heading 1 Char1 Char1,(Section),cover1"/>
    <w:basedOn w:val="Normal"/>
    <w:next w:val="Normal"/>
    <w:link w:val="Ttulo1Car"/>
    <w:uiPriority w:val="9"/>
    <w:rsid w:val="00843803"/>
    <w:pPr>
      <w:keepNext/>
      <w:keepLines/>
      <w:spacing w:before="240" w:after="0"/>
      <w:outlineLvl w:val="0"/>
    </w:pPr>
    <w:rPr>
      <w:rFonts w:eastAsiaTheme="majorEastAsia" w:cstheme="majorBidi"/>
      <w:color w:val="2F5496" w:themeColor="accent1" w:themeShade="BF"/>
      <w:sz w:val="32"/>
      <w:szCs w:val="32"/>
    </w:rPr>
  </w:style>
  <w:style w:type="paragraph" w:styleId="Ttulo2">
    <w:name w:val="heading 2"/>
    <w:aliases w:val="1_Portada"/>
    <w:basedOn w:val="Normal"/>
    <w:next w:val="Normal"/>
    <w:link w:val="Ttulo2Car"/>
    <w:uiPriority w:val="9"/>
    <w:unhideWhenUsed/>
    <w:rsid w:val="005020C4"/>
    <w:pPr>
      <w:keepNext/>
      <w:keepLines/>
      <w:numPr>
        <w:numId w:val="3"/>
      </w:numPr>
      <w:spacing w:before="40" w:after="0"/>
      <w:ind w:left="720"/>
      <w:outlineLvl w:val="1"/>
    </w:pPr>
    <w:rPr>
      <w:rFonts w:ascii="Averta Semibold" w:eastAsiaTheme="majorEastAsia" w:hAnsi="Averta Semibold" w:cstheme="majorBidi"/>
      <w:b/>
      <w:sz w:val="72"/>
      <w:szCs w:val="26"/>
    </w:rPr>
  </w:style>
  <w:style w:type="paragraph" w:styleId="Ttulo3">
    <w:name w:val="heading 3"/>
    <w:basedOn w:val="Normal"/>
    <w:next w:val="Normal"/>
    <w:link w:val="Ttulo3Car"/>
    <w:uiPriority w:val="9"/>
    <w:unhideWhenUsed/>
    <w:rsid w:val="004A7A31"/>
    <w:pPr>
      <w:keepNext/>
      <w:keepLines/>
      <w:spacing w:before="40" w:after="0"/>
      <w:outlineLvl w:val="2"/>
    </w:pPr>
    <w:rPr>
      <w:rFonts w:ascii="Averta Semibold" w:eastAsiaTheme="majorEastAsia" w:hAnsi="Averta Semibold" w:cstheme="majorBidi"/>
      <w:color w:val="FFFFFF" w:themeColor="background1"/>
      <w:sz w:val="36"/>
      <w:szCs w:val="24"/>
    </w:rPr>
  </w:style>
  <w:style w:type="paragraph" w:styleId="Ttulo4">
    <w:name w:val="heading 4"/>
    <w:basedOn w:val="Ttulo3"/>
    <w:next w:val="Normal"/>
    <w:link w:val="Ttulo4Car"/>
    <w:uiPriority w:val="9"/>
    <w:unhideWhenUsed/>
    <w:rsid w:val="008775DD"/>
    <w:pPr>
      <w:keepNext w:val="0"/>
      <w:keepLines w:val="0"/>
      <w:spacing w:before="0" w:after="160"/>
      <w:ind w:left="792" w:hanging="432"/>
      <w:jc w:val="left"/>
      <w:outlineLvl w:val="3"/>
    </w:pPr>
    <w:rPr>
      <w:rFonts w:asciiTheme="majorHAnsi" w:eastAsiaTheme="minorHAnsi" w:hAnsiTheme="majorHAnsi" w:cstheme="minorBidi"/>
      <w:b/>
      <w:bCs/>
      <w:color w:val="56A87F"/>
      <w:sz w:val="28"/>
      <w:szCs w:val="32"/>
    </w:rPr>
  </w:style>
  <w:style w:type="paragraph" w:styleId="Ttulo5">
    <w:name w:val="heading 5"/>
    <w:basedOn w:val="Normal"/>
    <w:next w:val="Normal"/>
    <w:link w:val="Ttulo5Car"/>
    <w:uiPriority w:val="9"/>
    <w:unhideWhenUsed/>
    <w:rsid w:val="008775DD"/>
    <w:pPr>
      <w:keepNext/>
      <w:keepLines/>
      <w:numPr>
        <w:numId w:val="21"/>
      </w:numPr>
      <w:spacing w:before="40" w:after="0"/>
      <w:outlineLvl w:val="4"/>
    </w:pPr>
    <w:rPr>
      <w:rFonts w:eastAsiaTheme="majorEastAsia" w:cstheme="majorHAnsi"/>
      <w:b/>
      <w:color w:val="4F6579"/>
      <w:sz w:val="28"/>
      <w:szCs w:val="26"/>
      <w:shd w:val="clear" w:color="auto" w:fill="FFFFFF" w:themeFill="background1"/>
    </w:rPr>
  </w:style>
  <w:style w:type="paragraph" w:styleId="Ttulo6">
    <w:name w:val="heading 6"/>
    <w:basedOn w:val="Normal"/>
    <w:next w:val="Normal"/>
    <w:link w:val="Ttulo6Car"/>
    <w:uiPriority w:val="9"/>
    <w:unhideWhenUsed/>
    <w:rsid w:val="008775DD"/>
    <w:pPr>
      <w:keepNext/>
      <w:keepLines/>
      <w:spacing w:before="40" w:after="0" w:line="240" w:lineRule="auto"/>
      <w:outlineLvl w:val="5"/>
    </w:pPr>
    <w:rPr>
      <w:rFonts w:eastAsiaTheme="majorEastAsia" w:cstheme="majorBidi"/>
      <w:color w:val="1F3763" w:themeColor="accent1" w:themeShade="7F"/>
    </w:rPr>
  </w:style>
  <w:style w:type="paragraph" w:styleId="Ttulo7">
    <w:name w:val="heading 7"/>
    <w:basedOn w:val="Normal"/>
    <w:next w:val="Normal"/>
    <w:link w:val="Ttulo7Car"/>
    <w:uiPriority w:val="9"/>
    <w:unhideWhenUsed/>
    <w:rsid w:val="008775DD"/>
    <w:pPr>
      <w:keepNext/>
      <w:keepLines/>
      <w:spacing w:before="40" w:after="0"/>
      <w:outlineLvl w:val="6"/>
    </w:pPr>
    <w:rPr>
      <w:rFonts w:eastAsiaTheme="majorEastAsia" w:cstheme="majorBidi"/>
      <w:i/>
      <w:iCs/>
      <w:color w:val="1F3763"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aliases w:val="List Paragraph (numbered (a)),List Paragraph1,List Paragraph11,Report Para,Heading 2_sj,WinDForce-Letter,Bullets,bullets,En tête 1,Dot pt,Numbered Para 1,No Spacing1,List Paragraph Char Char Char,Indicator Text,Bullet 1,Bullet Points,Ha"/>
    <w:basedOn w:val="Normal"/>
    <w:link w:val="PrrafodelistaCar"/>
    <w:uiPriority w:val="34"/>
    <w:rsid w:val="006D69B6"/>
    <w:pPr>
      <w:ind w:left="720"/>
      <w:contextualSpacing/>
    </w:pPr>
  </w:style>
  <w:style w:type="character" w:customStyle="1" w:styleId="PrrafodelistaCar">
    <w:name w:val="Párrafo de lista Car"/>
    <w:aliases w:val="List Paragraph (numbered (a)) Car,List Paragraph1 Car,List Paragraph11 Car,Report Para Car,Heading 2_sj Car,WinDForce-Letter Car,Bullets Car,bullets Car,En tête 1 Car,Dot pt Car,Numbered Para 1 Car,No Spacing1 Car,Indicator Text Car"/>
    <w:basedOn w:val="Fuentedeprrafopredeter"/>
    <w:link w:val="Prrafodelista"/>
    <w:uiPriority w:val="34"/>
    <w:qFormat/>
    <w:locked/>
    <w:rsid w:val="006D69B6"/>
  </w:style>
  <w:style w:type="table" w:styleId="Tablaconcuadrcula">
    <w:name w:val="Table Grid"/>
    <w:aliases w:val="Default Table,GFA Table Grid,Tabla con cuadrícula Nueva,Tabellengitternetz,EU references,Grille du tableau - valeur,Deuman - Box"/>
    <w:basedOn w:val="Tablanormal"/>
    <w:uiPriority w:val="39"/>
    <w:qFormat/>
    <w:rsid w:val="006D69B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link w:val="DefaultCar"/>
    <w:rsid w:val="006D69B6"/>
    <w:pPr>
      <w:autoSpaceDE w:val="0"/>
      <w:autoSpaceDN w:val="0"/>
      <w:adjustRightInd w:val="0"/>
      <w:spacing w:after="0" w:line="240" w:lineRule="auto"/>
    </w:pPr>
    <w:rPr>
      <w:rFonts w:ascii="Calibri" w:hAnsi="Calibri" w:cs="Calibri"/>
      <w:color w:val="000000"/>
      <w:sz w:val="24"/>
      <w:szCs w:val="24"/>
    </w:rPr>
  </w:style>
  <w:style w:type="character" w:styleId="Refdecomentario">
    <w:name w:val="annotation reference"/>
    <w:basedOn w:val="Fuentedeprrafopredeter"/>
    <w:uiPriority w:val="99"/>
    <w:unhideWhenUsed/>
    <w:rsid w:val="003200CF"/>
    <w:rPr>
      <w:sz w:val="16"/>
      <w:szCs w:val="16"/>
    </w:rPr>
  </w:style>
  <w:style w:type="paragraph" w:styleId="Textocomentario">
    <w:name w:val="annotation text"/>
    <w:basedOn w:val="Normal"/>
    <w:link w:val="TextocomentarioCar"/>
    <w:uiPriority w:val="99"/>
    <w:unhideWhenUsed/>
    <w:rsid w:val="003200CF"/>
    <w:pPr>
      <w:spacing w:line="240" w:lineRule="auto"/>
    </w:pPr>
    <w:rPr>
      <w:szCs w:val="20"/>
    </w:rPr>
  </w:style>
  <w:style w:type="character" w:customStyle="1" w:styleId="TextocomentarioCar">
    <w:name w:val="Texto comentario Car"/>
    <w:basedOn w:val="Fuentedeprrafopredeter"/>
    <w:link w:val="Textocomentario"/>
    <w:uiPriority w:val="99"/>
    <w:rsid w:val="003200CF"/>
    <w:rPr>
      <w:sz w:val="20"/>
      <w:szCs w:val="20"/>
    </w:rPr>
  </w:style>
  <w:style w:type="paragraph" w:styleId="Asuntodelcomentario">
    <w:name w:val="annotation subject"/>
    <w:basedOn w:val="Textocomentario"/>
    <w:next w:val="Textocomentario"/>
    <w:link w:val="AsuntodelcomentarioCar"/>
    <w:uiPriority w:val="99"/>
    <w:semiHidden/>
    <w:unhideWhenUsed/>
    <w:rsid w:val="003200CF"/>
    <w:rPr>
      <w:b/>
      <w:bCs/>
    </w:rPr>
  </w:style>
  <w:style w:type="character" w:customStyle="1" w:styleId="AsuntodelcomentarioCar">
    <w:name w:val="Asunto del comentario Car"/>
    <w:basedOn w:val="TextocomentarioCar"/>
    <w:link w:val="Asuntodelcomentario"/>
    <w:uiPriority w:val="99"/>
    <w:semiHidden/>
    <w:rsid w:val="003200CF"/>
    <w:rPr>
      <w:b/>
      <w:bCs/>
      <w:sz w:val="20"/>
      <w:szCs w:val="20"/>
    </w:rPr>
  </w:style>
  <w:style w:type="paragraph" w:styleId="Textoindependiente">
    <w:name w:val="Body Text"/>
    <w:basedOn w:val="Normal"/>
    <w:link w:val="TextoindependienteCar"/>
    <w:uiPriority w:val="1"/>
    <w:rsid w:val="00E13BD3"/>
    <w:pPr>
      <w:autoSpaceDE w:val="0"/>
      <w:autoSpaceDN w:val="0"/>
      <w:adjustRightInd w:val="0"/>
      <w:spacing w:after="0" w:line="240" w:lineRule="auto"/>
    </w:pPr>
    <w:rPr>
      <w:rFonts w:ascii="Calibri Light" w:hAnsi="Calibri Light" w:cs="Calibri Light"/>
    </w:rPr>
  </w:style>
  <w:style w:type="character" w:customStyle="1" w:styleId="TextoindependienteCar">
    <w:name w:val="Texto independiente Car"/>
    <w:basedOn w:val="Fuentedeprrafopredeter"/>
    <w:link w:val="Textoindependiente"/>
    <w:uiPriority w:val="1"/>
    <w:rsid w:val="00E13BD3"/>
    <w:rPr>
      <w:rFonts w:ascii="Calibri Light" w:hAnsi="Calibri Light" w:cs="Calibri Light"/>
    </w:rPr>
  </w:style>
  <w:style w:type="table" w:customStyle="1" w:styleId="Tablaconcuadrcula5oscura-nfasis321">
    <w:name w:val="Tabla con cuadrícula 5 oscura - Énfasis 321"/>
    <w:basedOn w:val="Tablanormal"/>
    <w:uiPriority w:val="50"/>
    <w:rsid w:val="002A1DC0"/>
    <w:pPr>
      <w:spacing w:after="0" w:line="240" w:lineRule="auto"/>
    </w:pPr>
    <w:rPr>
      <w:rFonts w:ascii="Calibri" w:eastAsia="Calibri" w:hAnsi="Calibri" w:cs="Arial"/>
    </w:rPr>
    <w:tblPr>
      <w:tblStyleRowBandSize w:val="1"/>
      <w:tblStyleColBandSize w:val="1"/>
      <w:tblInd w:w="0" w:type="nil"/>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paragraph" w:styleId="Encabezado">
    <w:name w:val="header"/>
    <w:aliases w:val="ContentsHeader,heading 3 after h2,h3+,hd,Subheading (body),Topline,ho,header odd,Draft,encabezado,Encabezado 2,SV,IPA Header,Chapter Name,page-header,ph,*Header,he,header,odd,Header.,Section Header,En-tête CV,Heade,h"/>
    <w:basedOn w:val="Normal"/>
    <w:link w:val="EncabezadoCar"/>
    <w:uiPriority w:val="99"/>
    <w:unhideWhenUsed/>
    <w:rsid w:val="0055703F"/>
    <w:pPr>
      <w:tabs>
        <w:tab w:val="center" w:pos="4252"/>
        <w:tab w:val="right" w:pos="8504"/>
      </w:tabs>
      <w:spacing w:after="0" w:line="240" w:lineRule="auto"/>
    </w:pPr>
  </w:style>
  <w:style w:type="character" w:customStyle="1" w:styleId="EncabezadoCar">
    <w:name w:val="Encabezado Car"/>
    <w:aliases w:val="ContentsHeader Car,heading 3 after h2 Car,h3+ Car,hd Car,Subheading (body) Car,Topline Car,ho Car,header odd Car,Draft Car,encabezado Car,Encabezado 2 Car,SV Car,IPA Header Car,Chapter Name Car,page-header Car,ph Car,*Header Car,he Car"/>
    <w:basedOn w:val="Fuentedeprrafopredeter"/>
    <w:link w:val="Encabezado"/>
    <w:uiPriority w:val="99"/>
    <w:rsid w:val="0055703F"/>
  </w:style>
  <w:style w:type="paragraph" w:styleId="Piedepgina">
    <w:name w:val="footer"/>
    <w:aliases w:val="|| Footer"/>
    <w:basedOn w:val="Normal"/>
    <w:link w:val="PiedepginaCar"/>
    <w:uiPriority w:val="99"/>
    <w:unhideWhenUsed/>
    <w:rsid w:val="0055703F"/>
    <w:pPr>
      <w:tabs>
        <w:tab w:val="center" w:pos="4252"/>
        <w:tab w:val="right" w:pos="8504"/>
      </w:tabs>
      <w:spacing w:after="0" w:line="240" w:lineRule="auto"/>
    </w:pPr>
  </w:style>
  <w:style w:type="character" w:customStyle="1" w:styleId="PiedepginaCar">
    <w:name w:val="Pie de página Car"/>
    <w:aliases w:val="|| Footer Car"/>
    <w:basedOn w:val="Fuentedeprrafopredeter"/>
    <w:link w:val="Piedepgina"/>
    <w:uiPriority w:val="99"/>
    <w:rsid w:val="0055703F"/>
  </w:style>
  <w:style w:type="paragraph" w:customStyle="1" w:styleId="Prrafobsico">
    <w:name w:val="[Párrafo básico]"/>
    <w:basedOn w:val="Normal"/>
    <w:uiPriority w:val="99"/>
    <w:rsid w:val="000D6DF0"/>
    <w:pPr>
      <w:autoSpaceDE w:val="0"/>
      <w:autoSpaceDN w:val="0"/>
      <w:adjustRightInd w:val="0"/>
      <w:spacing w:after="0" w:line="288" w:lineRule="auto"/>
      <w:textAlignment w:val="center"/>
    </w:pPr>
    <w:rPr>
      <w:rFonts w:ascii="MinionPro-Regular" w:hAnsi="MinionPro-Regular" w:cs="MinionPro-Regular"/>
      <w:color w:val="000000"/>
      <w:sz w:val="24"/>
      <w:szCs w:val="24"/>
      <w:lang w:val="es-ES_tradnl"/>
    </w:rPr>
  </w:style>
  <w:style w:type="paragraph" w:styleId="Sinespaciado">
    <w:name w:val="No Spacing"/>
    <w:link w:val="SinespaciadoCar"/>
    <w:rsid w:val="001152C0"/>
    <w:pPr>
      <w:spacing w:after="0" w:line="240" w:lineRule="auto"/>
    </w:pPr>
    <w:rPr>
      <w:rFonts w:eastAsiaTheme="minorEastAsia"/>
      <w:lang w:eastAsia="es-ES"/>
    </w:rPr>
  </w:style>
  <w:style w:type="character" w:customStyle="1" w:styleId="SinespaciadoCar">
    <w:name w:val="Sin espaciado Car"/>
    <w:basedOn w:val="Fuentedeprrafopredeter"/>
    <w:link w:val="Sinespaciado"/>
    <w:rsid w:val="001152C0"/>
    <w:rPr>
      <w:rFonts w:eastAsiaTheme="minorEastAsia"/>
      <w:lang w:eastAsia="es-ES"/>
    </w:rPr>
  </w:style>
  <w:style w:type="table" w:styleId="Tablaconcuadrculaclara">
    <w:name w:val="Grid Table Light"/>
    <w:basedOn w:val="Tablanormal"/>
    <w:uiPriority w:val="40"/>
    <w:rsid w:val="00A761DB"/>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Hipervnculo">
    <w:name w:val="Hyperlink"/>
    <w:basedOn w:val="Fuentedeprrafopredeter"/>
    <w:uiPriority w:val="99"/>
    <w:unhideWhenUsed/>
    <w:rsid w:val="00DA1184"/>
    <w:rPr>
      <w:color w:val="0563C1" w:themeColor="hyperlink"/>
      <w:u w:val="single"/>
    </w:rPr>
  </w:style>
  <w:style w:type="character" w:customStyle="1" w:styleId="Ttulo1Car">
    <w:name w:val="Título 1 Car"/>
    <w:aliases w:val="051 Car,Heading 1 Char1 Char Car,Heading 1 Char Char Char Car,Heading 1 Char1 Char Char Char Car,Heading 1 Char Char Char Char Char Car,Heading 1 Char1 Char Char Char Char Char Car,Heading 1 Char Char Char Char Char Char Char Car,cover1 Car"/>
    <w:basedOn w:val="Fuentedeprrafopredeter"/>
    <w:link w:val="Ttulo1"/>
    <w:uiPriority w:val="9"/>
    <w:rsid w:val="00843803"/>
    <w:rPr>
      <w:rFonts w:asciiTheme="majorHAnsi" w:eastAsiaTheme="majorEastAsia" w:hAnsiTheme="majorHAnsi" w:cstheme="majorBidi"/>
      <w:color w:val="2F5496" w:themeColor="accent1" w:themeShade="BF"/>
      <w:sz w:val="32"/>
      <w:szCs w:val="32"/>
    </w:rPr>
  </w:style>
  <w:style w:type="paragraph" w:styleId="TtuloTDC">
    <w:name w:val="TOC Heading"/>
    <w:basedOn w:val="Ttulo1"/>
    <w:next w:val="Normal"/>
    <w:uiPriority w:val="39"/>
    <w:unhideWhenUsed/>
    <w:qFormat/>
    <w:rsid w:val="00843803"/>
    <w:pPr>
      <w:outlineLvl w:val="9"/>
    </w:pPr>
    <w:rPr>
      <w:lang w:eastAsia="es-ES"/>
    </w:rPr>
  </w:style>
  <w:style w:type="paragraph" w:styleId="TDC2">
    <w:name w:val="toc 2"/>
    <w:basedOn w:val="Normal"/>
    <w:next w:val="Normal"/>
    <w:autoRedefine/>
    <w:uiPriority w:val="39"/>
    <w:unhideWhenUsed/>
    <w:rsid w:val="004449F6"/>
    <w:pPr>
      <w:tabs>
        <w:tab w:val="left" w:pos="1843"/>
        <w:tab w:val="right" w:leader="dot" w:pos="10194"/>
      </w:tabs>
      <w:spacing w:after="100" w:afterAutospacing="1" w:line="360" w:lineRule="auto"/>
      <w:ind w:left="284"/>
    </w:pPr>
    <w:rPr>
      <w:rFonts w:eastAsiaTheme="minorEastAsia" w:cs="Times New Roman"/>
      <w:b/>
      <w:color w:val="1E3B59"/>
      <w:lang w:eastAsia="es-ES"/>
    </w:rPr>
  </w:style>
  <w:style w:type="paragraph" w:styleId="TDC1">
    <w:name w:val="toc 1"/>
    <w:basedOn w:val="2Titulodeseccin"/>
    <w:next w:val="Normal"/>
    <w:autoRedefine/>
    <w:uiPriority w:val="39"/>
    <w:unhideWhenUsed/>
    <w:rsid w:val="004449F6"/>
    <w:pPr>
      <w:keepNext w:val="0"/>
      <w:keepLines w:val="0"/>
      <w:numPr>
        <w:numId w:val="0"/>
      </w:numPr>
      <w:tabs>
        <w:tab w:val="right" w:leader="dot" w:pos="10194"/>
      </w:tabs>
      <w:spacing w:after="220" w:line="360" w:lineRule="auto"/>
      <w:outlineLvl w:val="9"/>
    </w:pPr>
    <w:rPr>
      <w:rFonts w:ascii="Calibri Light" w:eastAsiaTheme="minorEastAsia" w:hAnsi="Calibri Light" w:cs="Times New Roman"/>
      <w:bCs/>
      <w:sz w:val="22"/>
      <w:lang w:eastAsia="es-ES"/>
    </w:rPr>
  </w:style>
  <w:style w:type="paragraph" w:styleId="TDC3">
    <w:name w:val="toc 3"/>
    <w:basedOn w:val="Normal"/>
    <w:next w:val="Normal"/>
    <w:autoRedefine/>
    <w:uiPriority w:val="39"/>
    <w:unhideWhenUsed/>
    <w:rsid w:val="004449F6"/>
    <w:pPr>
      <w:spacing w:after="100" w:line="360" w:lineRule="auto"/>
      <w:ind w:left="567"/>
    </w:pPr>
    <w:rPr>
      <w:rFonts w:eastAsiaTheme="minorEastAsia" w:cs="Times New Roman"/>
      <w:b/>
      <w:i/>
      <w:color w:val="1E3B59"/>
      <w:lang w:eastAsia="es-ES"/>
    </w:rPr>
  </w:style>
  <w:style w:type="paragraph" w:styleId="Textonotapie">
    <w:name w:val="footnote text"/>
    <w:aliases w:val="single space,Footnote Text Char1,Footnote Text Char Char,Footnote Text Char1 Char Char,Footnote Text Char Char Char Char,Char Char Char Char Char,Char Char Char,Geneva 9,ft,DNV-FT,-E Fußnotentext,Fußnotentext Ursprung,Char, Char Char,f,fn"/>
    <w:basedOn w:val="Normal"/>
    <w:link w:val="TextonotapieCar"/>
    <w:uiPriority w:val="99"/>
    <w:unhideWhenUsed/>
    <w:qFormat/>
    <w:rsid w:val="003779FD"/>
    <w:pPr>
      <w:spacing w:after="0" w:line="240" w:lineRule="auto"/>
    </w:pPr>
    <w:rPr>
      <w:szCs w:val="20"/>
    </w:rPr>
  </w:style>
  <w:style w:type="character" w:customStyle="1" w:styleId="TextonotapieCar">
    <w:name w:val="Texto nota pie Car"/>
    <w:aliases w:val="single space Car,Footnote Text Char1 Car,Footnote Text Char Char Car,Footnote Text Char1 Char Char Car,Footnote Text Char Char Char Char Car,Char Char Char Char Char Car,Char Char Char Car,Geneva 9 Car,ft Car,DNV-FT Car,Char Car,f Car"/>
    <w:basedOn w:val="Fuentedeprrafopredeter"/>
    <w:link w:val="Textonotapie"/>
    <w:uiPriority w:val="99"/>
    <w:qFormat/>
    <w:rsid w:val="003779FD"/>
    <w:rPr>
      <w:rFonts w:eastAsia="SimSun"/>
      <w:sz w:val="20"/>
      <w:szCs w:val="20"/>
    </w:rPr>
  </w:style>
  <w:style w:type="character" w:styleId="Refdenotaalpie">
    <w:name w:val="footnote reference"/>
    <w:aliases w:val="ftref,16 Point,Superscript 6 Point,Footnote Reference1,E FNZ,-E Fußnotenzeichen,Footnote#,fr,EN Footnote Reference,number,SUPERS,Superscript 6 Point + 11 pt,4_G,BVI fnr,Footnote Reference Number,Footnote Reference_LVL6,Знак сноски-FN"/>
    <w:basedOn w:val="Fuentedeprrafopredeter"/>
    <w:link w:val="SUPERSCharCharCharCharCharCharCharChar"/>
    <w:uiPriority w:val="99"/>
    <w:unhideWhenUsed/>
    <w:qFormat/>
    <w:rsid w:val="003779FD"/>
    <w:rPr>
      <w:vertAlign w:val="superscript"/>
    </w:rPr>
  </w:style>
  <w:style w:type="paragraph" w:customStyle="1" w:styleId="SUPERSCharCharCharCharCharCharCharChar">
    <w:name w:val="SUPERS Char Char Char Char Char Char Char Char"/>
    <w:aliases w:val="SUPERS Tegn Char Char Char Char Char Char Char Char Char,Footnote Reference Number Tegn Char Char Char Char Char Char Char Char Char"/>
    <w:basedOn w:val="Normal"/>
    <w:link w:val="Refdenotaalpie"/>
    <w:uiPriority w:val="99"/>
    <w:rsid w:val="003779FD"/>
    <w:pPr>
      <w:tabs>
        <w:tab w:val="left" w:pos="907"/>
      </w:tabs>
      <w:spacing w:before="60" w:line="240" w:lineRule="exact"/>
    </w:pPr>
    <w:rPr>
      <w:vertAlign w:val="superscript"/>
    </w:rPr>
  </w:style>
  <w:style w:type="paragraph" w:styleId="Ttulo">
    <w:name w:val="Title"/>
    <w:basedOn w:val="Normal"/>
    <w:next w:val="Normal"/>
    <w:link w:val="TtuloCar"/>
    <w:uiPriority w:val="10"/>
    <w:rsid w:val="004625BC"/>
    <w:pPr>
      <w:numPr>
        <w:numId w:val="2"/>
      </w:numPr>
      <w:spacing w:after="0" w:line="240" w:lineRule="auto"/>
      <w:contextualSpacing/>
    </w:pPr>
    <w:rPr>
      <w:rFonts w:eastAsiaTheme="majorEastAsia" w:cstheme="majorBidi"/>
      <w:spacing w:val="-10"/>
      <w:kern w:val="28"/>
      <w:sz w:val="60"/>
      <w:szCs w:val="56"/>
    </w:rPr>
  </w:style>
  <w:style w:type="character" w:customStyle="1" w:styleId="TtuloCar">
    <w:name w:val="Título Car"/>
    <w:basedOn w:val="Fuentedeprrafopredeter"/>
    <w:link w:val="Ttulo"/>
    <w:uiPriority w:val="10"/>
    <w:rsid w:val="004625BC"/>
    <w:rPr>
      <w:rFonts w:asciiTheme="majorHAnsi" w:eastAsiaTheme="majorEastAsia" w:hAnsiTheme="majorHAnsi" w:cstheme="majorBidi"/>
      <w:color w:val="1D3C5A"/>
      <w:spacing w:val="-10"/>
      <w:kern w:val="28"/>
      <w:sz w:val="60"/>
      <w:szCs w:val="56"/>
    </w:rPr>
  </w:style>
  <w:style w:type="character" w:customStyle="1" w:styleId="Ttulo2Car">
    <w:name w:val="Título 2 Car"/>
    <w:aliases w:val="1_Portada Car"/>
    <w:basedOn w:val="Fuentedeprrafopredeter"/>
    <w:link w:val="Ttulo2"/>
    <w:uiPriority w:val="9"/>
    <w:rsid w:val="005020C4"/>
    <w:rPr>
      <w:rFonts w:ascii="Averta Semibold" w:eastAsiaTheme="majorEastAsia" w:hAnsi="Averta Semibold" w:cstheme="majorBidi"/>
      <w:b/>
      <w:color w:val="1D3C5A"/>
      <w:sz w:val="72"/>
      <w:szCs w:val="26"/>
    </w:rPr>
  </w:style>
  <w:style w:type="paragraph" w:styleId="Descripcin">
    <w:name w:val="caption"/>
    <w:aliases w:val="Epígrafe Car Car Car Car Car,Epígrafe Car Car Car Car Car Car Car Car,Epígrafe Car Car Car Car Car Car Car Car Car Car Car,Epígrafe Car Car Car Car Car Car Car Car Car Car Car Car Car Car Car C,Beschriftung Tabla,Tasks,Beschriftung Char2"/>
    <w:basedOn w:val="Normal"/>
    <w:next w:val="Normal"/>
    <w:link w:val="DescripcinCar"/>
    <w:uiPriority w:val="35"/>
    <w:unhideWhenUsed/>
    <w:rsid w:val="00537DCE"/>
    <w:pPr>
      <w:spacing w:after="200" w:line="240" w:lineRule="auto"/>
      <w:jc w:val="left"/>
    </w:pPr>
    <w:rPr>
      <w:rFonts w:asciiTheme="minorHAnsi" w:hAnsiTheme="minorHAnsi"/>
      <w:b/>
      <w:bCs/>
      <w:color w:val="4472C4" w:themeColor="accent1"/>
      <w:sz w:val="18"/>
      <w:szCs w:val="18"/>
    </w:rPr>
  </w:style>
  <w:style w:type="character" w:customStyle="1" w:styleId="DescripcinCar">
    <w:name w:val="Descripción Car"/>
    <w:aliases w:val="Epígrafe Car Car Car Car Car Car,Epígrafe Car Car Car Car Car Car Car Car Car,Epígrafe Car Car Car Car Car Car Car Car Car Car Car Car,Epígrafe Car Car Car Car Car Car Car Car Car Car Car Car Car Car Car C Car,Beschriftung Tabla Car"/>
    <w:link w:val="Descripcin"/>
    <w:uiPriority w:val="35"/>
    <w:qFormat/>
    <w:locked/>
    <w:rsid w:val="00537DCE"/>
    <w:rPr>
      <w:b/>
      <w:bCs/>
      <w:color w:val="4472C4" w:themeColor="accent1"/>
      <w:sz w:val="18"/>
      <w:szCs w:val="18"/>
    </w:rPr>
  </w:style>
  <w:style w:type="table" w:customStyle="1" w:styleId="MediumGrid2-Accent34">
    <w:name w:val="Medium Grid 2 - Accent 34"/>
    <w:basedOn w:val="Tablanormal"/>
    <w:uiPriority w:val="68"/>
    <w:rsid w:val="006A0882"/>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cPr>
      <w:shd w:val="clear" w:color="auto" w:fill="E8E8E8" w:themeFill="accent3" w:themeFillTint="3F"/>
    </w:tcPr>
    <w:tblStylePr w:type="firstRow">
      <w:rPr>
        <w:b/>
        <w:bCs/>
        <w:color w:val="000000" w:themeColor="text1"/>
      </w:rPr>
      <w:tblPr/>
      <w:tcPr>
        <w:shd w:val="clear" w:color="auto" w:fill="F6F6F6"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DEDED" w:themeFill="accent3" w:themeFillTint="33"/>
      </w:tcPr>
    </w:tblStylePr>
    <w:tblStylePr w:type="band1Vert">
      <w:tblPr/>
      <w:tcPr>
        <w:shd w:val="clear" w:color="auto" w:fill="D2D2D2" w:themeFill="accent3" w:themeFillTint="7F"/>
      </w:tcPr>
    </w:tblStylePr>
    <w:tblStylePr w:type="band1Horz">
      <w:tblPr/>
      <w:tcPr>
        <w:tcBorders>
          <w:insideH w:val="single" w:sz="6" w:space="0" w:color="A5A5A5" w:themeColor="accent3"/>
          <w:insideV w:val="single" w:sz="6" w:space="0" w:color="A5A5A5" w:themeColor="accent3"/>
        </w:tcBorders>
        <w:shd w:val="clear" w:color="auto" w:fill="D2D2D2" w:themeFill="accent3" w:themeFillTint="7F"/>
      </w:tcPr>
    </w:tblStylePr>
    <w:tblStylePr w:type="nwCell">
      <w:tblPr/>
      <w:tcPr>
        <w:shd w:val="clear" w:color="auto" w:fill="FFFFFF" w:themeFill="background1"/>
      </w:tcPr>
    </w:tblStylePr>
  </w:style>
  <w:style w:type="table" w:styleId="Tabladelista2-nfasis5">
    <w:name w:val="List Table 2 Accent 5"/>
    <w:basedOn w:val="Tablanormal"/>
    <w:uiPriority w:val="47"/>
    <w:rsid w:val="004625BC"/>
    <w:pPr>
      <w:spacing w:after="0" w:line="240" w:lineRule="auto"/>
    </w:pPr>
    <w:tblPr>
      <w:tblStyleRowBandSize w:val="1"/>
      <w:tblStyleColBandSize w:val="1"/>
      <w:tblBorders>
        <w:top w:val="single" w:sz="4" w:space="0" w:color="9CC2E5" w:themeColor="accent5" w:themeTint="99"/>
        <w:bottom w:val="single" w:sz="4" w:space="0" w:color="9CC2E5" w:themeColor="accent5" w:themeTint="99"/>
        <w:insideH w:val="single" w:sz="4" w:space="0" w:color="9CC2E5"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character" w:customStyle="1" w:styleId="Ttulo3Car">
    <w:name w:val="Título 3 Car"/>
    <w:basedOn w:val="Fuentedeprrafopredeter"/>
    <w:link w:val="Ttulo3"/>
    <w:uiPriority w:val="9"/>
    <w:rsid w:val="004A7A31"/>
    <w:rPr>
      <w:rFonts w:ascii="Averta Semibold" w:eastAsiaTheme="majorEastAsia" w:hAnsi="Averta Semibold" w:cstheme="majorBidi"/>
      <w:color w:val="FFFFFF" w:themeColor="background1"/>
      <w:sz w:val="36"/>
      <w:szCs w:val="24"/>
    </w:rPr>
  </w:style>
  <w:style w:type="character" w:styleId="Textoennegrita">
    <w:name w:val="Strong"/>
    <w:aliases w:val="Texto gráficos"/>
    <w:basedOn w:val="Fuentedeprrafopredeter"/>
    <w:uiPriority w:val="22"/>
    <w:rsid w:val="001D0906"/>
    <w:rPr>
      <w:rFonts w:ascii="Averta Semibold" w:hAnsi="Averta Semibold"/>
      <w:b/>
      <w:bCs/>
      <w:color w:val="FFFFFF" w:themeColor="background1"/>
    </w:rPr>
  </w:style>
  <w:style w:type="paragraph" w:customStyle="1" w:styleId="3Subttulo">
    <w:name w:val="3_Subtítulo"/>
    <w:basedOn w:val="Normal"/>
    <w:next w:val="5GlobalFactor"/>
    <w:link w:val="3SubttuloCar"/>
    <w:autoRedefine/>
    <w:qFormat/>
    <w:rsid w:val="00883333"/>
    <w:pPr>
      <w:numPr>
        <w:ilvl w:val="1"/>
        <w:numId w:val="24"/>
      </w:numPr>
      <w:spacing w:before="360" w:after="240"/>
      <w:ind w:left="788" w:hanging="431"/>
      <w:jc w:val="left"/>
      <w:outlineLvl w:val="1"/>
    </w:pPr>
    <w:rPr>
      <w:rFonts w:ascii="Calibri Light" w:eastAsiaTheme="minorEastAsia" w:hAnsi="Calibri Light" w:cs="Times New Roman"/>
      <w:b/>
      <w:bCs/>
      <w:color w:val="25775E"/>
      <w:sz w:val="24"/>
      <w:szCs w:val="40"/>
      <w:lang w:val="es-ES_tradnl" w:eastAsia="es-ES"/>
    </w:rPr>
  </w:style>
  <w:style w:type="character" w:customStyle="1" w:styleId="3SubttuloCar">
    <w:name w:val="3_Subtítulo Car"/>
    <w:basedOn w:val="Fuentedeprrafopredeter"/>
    <w:link w:val="3Subttulo"/>
    <w:rsid w:val="00883333"/>
    <w:rPr>
      <w:rFonts w:ascii="Calibri Light" w:eastAsiaTheme="minorEastAsia" w:hAnsi="Calibri Light" w:cs="Times New Roman"/>
      <w:b/>
      <w:bCs/>
      <w:color w:val="25775E"/>
      <w:sz w:val="24"/>
      <w:szCs w:val="40"/>
      <w:lang w:val="es-ES_tradnl" w:eastAsia="es-ES"/>
    </w:rPr>
  </w:style>
  <w:style w:type="paragraph" w:customStyle="1" w:styleId="2Titulodeseccin">
    <w:name w:val="2_Titulo de sección"/>
    <w:basedOn w:val="Factor"/>
    <w:next w:val="5GlobalFactor"/>
    <w:link w:val="2TitulodeseccinCar"/>
    <w:autoRedefine/>
    <w:qFormat/>
    <w:rsid w:val="008E0BB0"/>
    <w:pPr>
      <w:numPr>
        <w:numId w:val="24"/>
      </w:numPr>
      <w:spacing w:before="120" w:after="240" w:line="240" w:lineRule="auto"/>
      <w:ind w:left="357" w:hanging="357"/>
      <w:jc w:val="both"/>
    </w:pPr>
    <w:rPr>
      <w:rFonts w:cs="Averta ExtraBold"/>
      <w:b/>
      <w:bCs w:val="0"/>
      <w:color w:val="1D3C5A"/>
      <w:sz w:val="40"/>
      <w:szCs w:val="40"/>
      <w:lang w:val="es-ES_tradnl"/>
    </w:rPr>
  </w:style>
  <w:style w:type="character" w:customStyle="1" w:styleId="2TitulodeseccinCar">
    <w:name w:val="2_Titulo de sección Car"/>
    <w:basedOn w:val="Fuentedeprrafopredeter"/>
    <w:link w:val="2Titulodeseccin"/>
    <w:rsid w:val="008E0BB0"/>
    <w:rPr>
      <w:rFonts w:asciiTheme="majorHAnsi" w:eastAsiaTheme="majorEastAsia" w:hAnsiTheme="majorHAnsi" w:cs="Averta ExtraBold"/>
      <w:b/>
      <w:color w:val="1D3C5A"/>
      <w:sz w:val="40"/>
      <w:szCs w:val="40"/>
      <w:lang w:val="es-ES_tradnl"/>
    </w:rPr>
  </w:style>
  <w:style w:type="paragraph" w:customStyle="1" w:styleId="ReferenciaFactor">
    <w:name w:val="Referencia Factor"/>
    <w:basedOn w:val="Normal"/>
    <w:rsid w:val="008F176B"/>
    <w:pPr>
      <w:keepNext/>
      <w:spacing w:after="60"/>
      <w:jc w:val="right"/>
    </w:pPr>
    <w:rPr>
      <w:rFonts w:eastAsiaTheme="minorHAnsi" w:cstheme="majorHAnsi"/>
      <w:i/>
      <w:iCs/>
      <w:color w:val="1E3B59"/>
      <w:sz w:val="16"/>
      <w:szCs w:val="16"/>
    </w:rPr>
  </w:style>
  <w:style w:type="paragraph" w:customStyle="1" w:styleId="FactorCO2">
    <w:name w:val="Factor CO2"/>
    <w:basedOn w:val="Normal"/>
    <w:link w:val="FactorCO2Car"/>
    <w:rsid w:val="007275CF"/>
    <w:pPr>
      <w:spacing w:before="120" w:after="240" w:line="276" w:lineRule="auto"/>
    </w:pPr>
    <w:rPr>
      <w:rFonts w:ascii="Century Gothic" w:eastAsia="Calibri" w:hAnsi="Century Gothic" w:cs="Times New Roman"/>
      <w:color w:val="auto"/>
      <w:szCs w:val="20"/>
    </w:rPr>
  </w:style>
  <w:style w:type="character" w:customStyle="1" w:styleId="FactorCO2Car">
    <w:name w:val="Factor CO2 Car"/>
    <w:link w:val="FactorCO2"/>
    <w:rsid w:val="007275CF"/>
    <w:rPr>
      <w:rFonts w:ascii="Century Gothic" w:eastAsia="Calibri" w:hAnsi="Century Gothic" w:cs="Times New Roman"/>
      <w:sz w:val="20"/>
      <w:szCs w:val="20"/>
    </w:rPr>
  </w:style>
  <w:style w:type="table" w:styleId="Tabladelista1clara-nfasis5">
    <w:name w:val="List Table 1 Light Accent 5"/>
    <w:basedOn w:val="Tablanormal"/>
    <w:uiPriority w:val="46"/>
    <w:rsid w:val="007275CF"/>
    <w:pPr>
      <w:spacing w:after="0" w:line="240" w:lineRule="auto"/>
    </w:pPr>
    <w:rPr>
      <w:rFonts w:eastAsiaTheme="minorHAnsi"/>
      <w:lang w:val="es-MX"/>
    </w:rPr>
    <w:tblPr>
      <w:tblStyleRowBandSize w:val="1"/>
      <w:tblStyleColBandSize w:val="1"/>
    </w:tblPr>
    <w:tblStylePr w:type="firstRow">
      <w:rPr>
        <w:b/>
        <w:bCs/>
      </w:rPr>
      <w:tblPr/>
      <w:tcPr>
        <w:tcBorders>
          <w:bottom w:val="single" w:sz="4" w:space="0" w:color="9CC2E5" w:themeColor="accent5" w:themeTint="99"/>
        </w:tcBorders>
      </w:tcPr>
    </w:tblStylePr>
    <w:tblStylePr w:type="lastRow">
      <w:rPr>
        <w:b/>
        <w:bCs/>
      </w:rPr>
      <w:tblPr/>
      <w:tcPr>
        <w:tcBorders>
          <w:top w:val="sing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customStyle="1" w:styleId="parrafoFCO2">
    <w:name w:val="parrafoFCO2"/>
    <w:basedOn w:val="Normal"/>
    <w:link w:val="parrafoFCO2Car"/>
    <w:rsid w:val="00D626F6"/>
    <w:pPr>
      <w:spacing w:after="240" w:line="360" w:lineRule="auto"/>
    </w:pPr>
    <w:rPr>
      <w:rFonts w:ascii="Century Gothic" w:eastAsiaTheme="minorHAnsi" w:hAnsi="Century Gothic"/>
      <w:color w:val="auto"/>
      <w:sz w:val="22"/>
      <w:lang w:val="en-US"/>
    </w:rPr>
  </w:style>
  <w:style w:type="character" w:customStyle="1" w:styleId="parrafoFCO2Car">
    <w:name w:val="parrafoFCO2 Car"/>
    <w:basedOn w:val="Fuentedeprrafopredeter"/>
    <w:link w:val="parrafoFCO2"/>
    <w:rsid w:val="00D626F6"/>
    <w:rPr>
      <w:rFonts w:ascii="Century Gothic" w:eastAsiaTheme="minorHAnsi" w:hAnsi="Century Gothic"/>
      <w:lang w:val="en-US"/>
    </w:rPr>
  </w:style>
  <w:style w:type="table" w:customStyle="1" w:styleId="Tablanormal51">
    <w:name w:val="Tabla normal 51"/>
    <w:basedOn w:val="Tablanormal"/>
    <w:uiPriority w:val="45"/>
    <w:rsid w:val="00D626F6"/>
    <w:pPr>
      <w:spacing w:after="0" w:line="240" w:lineRule="auto"/>
    </w:pPr>
    <w:rPr>
      <w:rFonts w:eastAsiaTheme="minorHAnsi"/>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adelista4-nfasis22">
    <w:name w:val="Tabla de lista 4 - Énfasis 22"/>
    <w:basedOn w:val="Tablanormal"/>
    <w:uiPriority w:val="49"/>
    <w:rsid w:val="00D626F6"/>
    <w:pPr>
      <w:spacing w:after="0" w:line="240" w:lineRule="auto"/>
    </w:pPr>
    <w:rPr>
      <w:rFonts w:eastAsiaTheme="minorHAnsi"/>
      <w:szCs w:val="28"/>
      <w:lang w:bidi="th-TH"/>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tcBorders>
        <w:shd w:val="clear" w:color="auto" w:fill="ED7D31" w:themeFill="accent2"/>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character" w:customStyle="1" w:styleId="Ttulo4Car">
    <w:name w:val="Título 4 Car"/>
    <w:basedOn w:val="Fuentedeprrafopredeter"/>
    <w:link w:val="Ttulo4"/>
    <w:uiPriority w:val="9"/>
    <w:rsid w:val="008775DD"/>
    <w:rPr>
      <w:rFonts w:asciiTheme="majorHAnsi" w:eastAsiaTheme="minorHAnsi" w:hAnsiTheme="majorHAnsi"/>
      <w:b/>
      <w:bCs/>
      <w:color w:val="56A87F"/>
      <w:sz w:val="28"/>
      <w:szCs w:val="32"/>
    </w:rPr>
  </w:style>
  <w:style w:type="character" w:customStyle="1" w:styleId="Ttulo5Car">
    <w:name w:val="Título 5 Car"/>
    <w:basedOn w:val="Fuentedeprrafopredeter"/>
    <w:link w:val="Ttulo5"/>
    <w:uiPriority w:val="9"/>
    <w:rsid w:val="008775DD"/>
    <w:rPr>
      <w:rFonts w:asciiTheme="majorHAnsi" w:eastAsiaTheme="majorEastAsia" w:hAnsiTheme="majorHAnsi" w:cstheme="majorHAnsi"/>
      <w:b/>
      <w:color w:val="4F6579"/>
      <w:sz w:val="28"/>
      <w:szCs w:val="26"/>
    </w:rPr>
  </w:style>
  <w:style w:type="character" w:customStyle="1" w:styleId="Ttulo6Car">
    <w:name w:val="Título 6 Car"/>
    <w:basedOn w:val="Fuentedeprrafopredeter"/>
    <w:link w:val="Ttulo6"/>
    <w:uiPriority w:val="9"/>
    <w:rsid w:val="008775DD"/>
    <w:rPr>
      <w:rFonts w:asciiTheme="majorHAnsi" w:eastAsiaTheme="majorEastAsia" w:hAnsiTheme="majorHAnsi" w:cstheme="majorBidi"/>
      <w:color w:val="1F3763" w:themeColor="accent1" w:themeShade="7F"/>
      <w:sz w:val="20"/>
    </w:rPr>
  </w:style>
  <w:style w:type="character" w:customStyle="1" w:styleId="Ttulo7Car">
    <w:name w:val="Título 7 Car"/>
    <w:basedOn w:val="Fuentedeprrafopredeter"/>
    <w:link w:val="Ttulo7"/>
    <w:uiPriority w:val="9"/>
    <w:rsid w:val="008775DD"/>
    <w:rPr>
      <w:rFonts w:asciiTheme="majorHAnsi" w:eastAsiaTheme="majorEastAsia" w:hAnsiTheme="majorHAnsi" w:cstheme="majorBidi"/>
      <w:i/>
      <w:iCs/>
      <w:color w:val="1F3763" w:themeColor="accent1" w:themeShade="7F"/>
      <w:sz w:val="20"/>
    </w:rPr>
  </w:style>
  <w:style w:type="paragraph" w:styleId="Textodeglobo">
    <w:name w:val="Balloon Text"/>
    <w:basedOn w:val="Normal"/>
    <w:link w:val="TextodegloboCar"/>
    <w:uiPriority w:val="99"/>
    <w:unhideWhenUsed/>
    <w:rsid w:val="008775DD"/>
    <w:pPr>
      <w:spacing w:after="0" w:line="240" w:lineRule="auto"/>
    </w:pPr>
    <w:rPr>
      <w:rFonts w:ascii="Segoe UI" w:eastAsiaTheme="minorHAnsi" w:hAnsi="Segoe UI" w:cs="Segoe UI"/>
      <w:color w:val="auto"/>
      <w:sz w:val="18"/>
      <w:szCs w:val="18"/>
    </w:rPr>
  </w:style>
  <w:style w:type="character" w:customStyle="1" w:styleId="TextodegloboCar">
    <w:name w:val="Texto de globo Car"/>
    <w:basedOn w:val="Fuentedeprrafopredeter"/>
    <w:link w:val="Textodeglobo"/>
    <w:uiPriority w:val="99"/>
    <w:rsid w:val="008775DD"/>
    <w:rPr>
      <w:rFonts w:ascii="Segoe UI" w:eastAsiaTheme="minorHAnsi" w:hAnsi="Segoe UI" w:cs="Segoe UI"/>
      <w:sz w:val="18"/>
      <w:szCs w:val="18"/>
    </w:rPr>
  </w:style>
  <w:style w:type="paragraph" w:styleId="Subttulo">
    <w:name w:val="Subtitle"/>
    <w:basedOn w:val="Normal"/>
    <w:next w:val="Normal"/>
    <w:link w:val="SubttuloCar"/>
    <w:uiPriority w:val="11"/>
    <w:rsid w:val="008775DD"/>
    <w:pPr>
      <w:numPr>
        <w:ilvl w:val="1"/>
      </w:numPr>
    </w:pPr>
    <w:rPr>
      <w:rFonts w:eastAsiaTheme="minorEastAsia"/>
      <w:color w:val="5A5A5A" w:themeColor="text1" w:themeTint="A5"/>
      <w:spacing w:val="15"/>
    </w:rPr>
  </w:style>
  <w:style w:type="character" w:customStyle="1" w:styleId="SubttuloCar">
    <w:name w:val="Subtítulo Car"/>
    <w:basedOn w:val="Fuentedeprrafopredeter"/>
    <w:link w:val="Subttulo"/>
    <w:uiPriority w:val="11"/>
    <w:rsid w:val="008775DD"/>
    <w:rPr>
      <w:rFonts w:asciiTheme="majorHAnsi" w:eastAsiaTheme="minorEastAsia" w:hAnsiTheme="majorHAnsi"/>
      <w:color w:val="5A5A5A" w:themeColor="text1" w:themeTint="A5"/>
      <w:spacing w:val="15"/>
      <w:sz w:val="20"/>
    </w:rPr>
  </w:style>
  <w:style w:type="table" w:styleId="Sombreadoclaro-nfasis3">
    <w:name w:val="Light Shading Accent 3"/>
    <w:basedOn w:val="Tablanormal"/>
    <w:uiPriority w:val="60"/>
    <w:rsid w:val="008775DD"/>
    <w:pPr>
      <w:spacing w:after="0" w:line="240" w:lineRule="auto"/>
    </w:pPr>
    <w:rPr>
      <w:rFonts w:eastAsiaTheme="minorHAnsi"/>
      <w:color w:val="7B7B7B" w:themeColor="accent3" w:themeShade="BF"/>
    </w:rPr>
    <w:tblPr>
      <w:tblStyleRowBandSize w:val="1"/>
      <w:tblStyleColBandSize w:val="1"/>
      <w:tblBorders>
        <w:top w:val="single" w:sz="8" w:space="0" w:color="A5A5A5" w:themeColor="accent3"/>
        <w:bottom w:val="single" w:sz="8" w:space="0" w:color="A5A5A5" w:themeColor="accent3"/>
      </w:tblBorders>
    </w:tblPr>
    <w:tblStylePr w:type="fir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paragraph" w:customStyle="1" w:styleId="Ttulotabla">
    <w:name w:val="Título tabla"/>
    <w:basedOn w:val="Normal"/>
    <w:rsid w:val="008775DD"/>
    <w:pPr>
      <w:keepNext/>
      <w:spacing w:after="0" w:line="240" w:lineRule="auto"/>
      <w:jc w:val="right"/>
    </w:pPr>
    <w:rPr>
      <w:rFonts w:ascii="Century Gothic" w:eastAsiaTheme="minorHAnsi" w:hAnsi="Century Gothic"/>
      <w:b/>
      <w:bCs/>
      <w:color w:val="auto"/>
      <w:sz w:val="18"/>
      <w:szCs w:val="18"/>
      <w:lang w:val="en-US"/>
    </w:rPr>
  </w:style>
  <w:style w:type="paragraph" w:customStyle="1" w:styleId="TtuloFactornumerado">
    <w:name w:val="Título Factor numerado"/>
    <w:basedOn w:val="TtulosFactor"/>
    <w:rsid w:val="008775DD"/>
    <w:pPr>
      <w:numPr>
        <w:numId w:val="4"/>
      </w:numPr>
      <w:ind w:left="357" w:hanging="357"/>
    </w:pPr>
  </w:style>
  <w:style w:type="paragraph" w:customStyle="1" w:styleId="TtulosFactor">
    <w:name w:val="Títulos Factor"/>
    <w:basedOn w:val="Ttulo1"/>
    <w:rsid w:val="008775DD"/>
    <w:pPr>
      <w:spacing w:before="0" w:after="160"/>
    </w:pPr>
    <w:rPr>
      <w:bCs/>
      <w:color w:val="019F6C"/>
    </w:rPr>
  </w:style>
  <w:style w:type="paragraph" w:styleId="Bibliografa">
    <w:name w:val="Bibliography"/>
    <w:basedOn w:val="Normal"/>
    <w:next w:val="Normal"/>
    <w:uiPriority w:val="37"/>
    <w:unhideWhenUsed/>
    <w:rsid w:val="008775DD"/>
    <w:rPr>
      <w:rFonts w:eastAsiaTheme="minorHAnsi"/>
      <w:color w:val="auto"/>
    </w:rPr>
  </w:style>
  <w:style w:type="paragraph" w:styleId="ndice1">
    <w:name w:val="index 1"/>
    <w:basedOn w:val="Normal"/>
    <w:next w:val="Normal"/>
    <w:autoRedefine/>
    <w:uiPriority w:val="99"/>
    <w:semiHidden/>
    <w:unhideWhenUsed/>
    <w:rsid w:val="008775DD"/>
    <w:pPr>
      <w:spacing w:after="0" w:line="240" w:lineRule="auto"/>
      <w:ind w:left="220" w:hanging="220"/>
    </w:pPr>
    <w:rPr>
      <w:rFonts w:eastAsiaTheme="minorHAnsi"/>
      <w:color w:val="auto"/>
    </w:rPr>
  </w:style>
  <w:style w:type="character" w:styleId="Textodelmarcadordeposicin">
    <w:name w:val="Placeholder Text"/>
    <w:basedOn w:val="Fuentedeprrafopredeter"/>
    <w:uiPriority w:val="99"/>
    <w:semiHidden/>
    <w:rsid w:val="008775DD"/>
    <w:rPr>
      <w:color w:val="808080"/>
    </w:rPr>
  </w:style>
  <w:style w:type="paragraph" w:customStyle="1" w:styleId="SubttuloFactor">
    <w:name w:val="Subtítulo Factor"/>
    <w:basedOn w:val="Ttulo2"/>
    <w:rsid w:val="008775DD"/>
    <w:pPr>
      <w:keepNext w:val="0"/>
      <w:keepLines w:val="0"/>
      <w:numPr>
        <w:numId w:val="0"/>
      </w:numPr>
      <w:spacing w:before="0" w:after="160"/>
      <w:jc w:val="right"/>
    </w:pPr>
    <w:rPr>
      <w:rFonts w:asciiTheme="majorHAnsi" w:eastAsiaTheme="minorHAnsi" w:hAnsiTheme="majorHAnsi" w:cstheme="minorBidi"/>
      <w:b w:val="0"/>
      <w:color w:val="1E3B59"/>
      <w:sz w:val="24"/>
      <w:szCs w:val="24"/>
    </w:rPr>
  </w:style>
  <w:style w:type="paragraph" w:customStyle="1" w:styleId="PrrafoFactor">
    <w:name w:val="Párrafo Factor"/>
    <w:basedOn w:val="parrafoFCO2"/>
    <w:rsid w:val="008775DD"/>
    <w:pPr>
      <w:spacing w:line="259" w:lineRule="auto"/>
    </w:pPr>
    <w:rPr>
      <w:sz w:val="18"/>
      <w:szCs w:val="18"/>
      <w:lang w:val="es-ES"/>
    </w:rPr>
  </w:style>
  <w:style w:type="paragraph" w:customStyle="1" w:styleId="Estilo1">
    <w:name w:val="Estilo1"/>
    <w:basedOn w:val="SubttuloFactor"/>
    <w:rsid w:val="008775DD"/>
    <w:rPr>
      <w:sz w:val="18"/>
    </w:rPr>
  </w:style>
  <w:style w:type="paragraph" w:customStyle="1" w:styleId="SubttuloFactor0">
    <w:name w:val="SubtítuloFactor"/>
    <w:basedOn w:val="SubttuloFactor"/>
    <w:rsid w:val="008775DD"/>
    <w:rPr>
      <w:sz w:val="16"/>
    </w:rPr>
  </w:style>
  <w:style w:type="paragraph" w:styleId="Mapadeldocumento">
    <w:name w:val="Document Map"/>
    <w:basedOn w:val="Normal"/>
    <w:link w:val="MapadeldocumentoCar"/>
    <w:uiPriority w:val="99"/>
    <w:semiHidden/>
    <w:unhideWhenUsed/>
    <w:rsid w:val="008775DD"/>
    <w:pPr>
      <w:spacing w:after="0" w:line="240" w:lineRule="auto"/>
      <w:jc w:val="left"/>
    </w:pPr>
    <w:rPr>
      <w:rFonts w:ascii="Tahoma" w:eastAsiaTheme="minorHAnsi" w:hAnsi="Tahoma" w:cs="Tahoma"/>
      <w:color w:val="auto"/>
      <w:sz w:val="16"/>
      <w:szCs w:val="16"/>
    </w:rPr>
  </w:style>
  <w:style w:type="character" w:customStyle="1" w:styleId="MapadeldocumentoCar">
    <w:name w:val="Mapa del documento Car"/>
    <w:basedOn w:val="Fuentedeprrafopredeter"/>
    <w:link w:val="Mapadeldocumento"/>
    <w:uiPriority w:val="99"/>
    <w:semiHidden/>
    <w:rsid w:val="008775DD"/>
    <w:rPr>
      <w:rFonts w:ascii="Tahoma" w:eastAsiaTheme="minorHAnsi" w:hAnsi="Tahoma" w:cs="Tahoma"/>
      <w:sz w:val="16"/>
      <w:szCs w:val="16"/>
    </w:rPr>
  </w:style>
  <w:style w:type="character" w:customStyle="1" w:styleId="TtuloCar1">
    <w:name w:val="Título Car1"/>
    <w:basedOn w:val="Fuentedeprrafopredeter"/>
    <w:uiPriority w:val="10"/>
    <w:rsid w:val="008775DD"/>
    <w:rPr>
      <w:rFonts w:ascii="Century Gothic" w:hAnsi="Century Gothic"/>
      <w:b/>
      <w:color w:val="595959"/>
      <w:sz w:val="32"/>
      <w:szCs w:val="32"/>
      <w:lang w:val="en-US"/>
    </w:rPr>
  </w:style>
  <w:style w:type="paragraph" w:styleId="Tabladeilustraciones">
    <w:name w:val="table of figures"/>
    <w:basedOn w:val="Normal"/>
    <w:next w:val="Normal"/>
    <w:uiPriority w:val="99"/>
    <w:unhideWhenUsed/>
    <w:rsid w:val="008775DD"/>
    <w:pPr>
      <w:spacing w:after="0"/>
    </w:pPr>
    <w:rPr>
      <w:rFonts w:eastAsiaTheme="minorHAnsi"/>
      <w:color w:val="auto"/>
    </w:rPr>
  </w:style>
  <w:style w:type="paragraph" w:customStyle="1" w:styleId="Ttulondice">
    <w:name w:val="Título Índice"/>
    <w:basedOn w:val="TtuloTDC"/>
    <w:autoRedefine/>
    <w:rsid w:val="008775DD"/>
    <w:rPr>
      <w:rFonts w:cstheme="majorHAnsi"/>
      <w:bCs/>
      <w:color w:val="1E3B59"/>
      <w:lang w:val="en-US"/>
    </w:rPr>
  </w:style>
  <w:style w:type="paragraph" w:customStyle="1" w:styleId="Tablandice">
    <w:name w:val="Tabla índice"/>
    <w:basedOn w:val="TDC1"/>
    <w:autoRedefine/>
    <w:rsid w:val="008775DD"/>
    <w:pPr>
      <w:tabs>
        <w:tab w:val="left" w:pos="440"/>
        <w:tab w:val="right" w:leader="dot" w:pos="8494"/>
      </w:tabs>
      <w:spacing w:after="160"/>
    </w:pPr>
    <w:rPr>
      <w:rFonts w:cstheme="majorHAnsi"/>
      <w:b w:val="0"/>
      <w:bCs w:val="0"/>
      <w:noProof/>
      <w:color w:val="1E3B59"/>
      <w:lang w:val="en-GB"/>
    </w:rPr>
  </w:style>
  <w:style w:type="paragraph" w:customStyle="1" w:styleId="Tablas">
    <w:name w:val="Tablas"/>
    <w:basedOn w:val="Normal"/>
    <w:rsid w:val="008775DD"/>
    <w:pPr>
      <w:spacing w:after="60" w:line="240" w:lineRule="auto"/>
      <w:jc w:val="center"/>
    </w:pPr>
    <w:rPr>
      <w:rFonts w:eastAsia="Times New Roman" w:cstheme="majorHAnsi"/>
      <w:bCs/>
      <w:color w:val="auto"/>
      <w:sz w:val="18"/>
      <w:szCs w:val="18"/>
      <w:lang w:eastAsia="en-GB"/>
    </w:rPr>
  </w:style>
  <w:style w:type="paragraph" w:customStyle="1" w:styleId="TtuloPortadaFactor">
    <w:name w:val="Título Portada Factor"/>
    <w:basedOn w:val="Textoindependiente"/>
    <w:rsid w:val="008775DD"/>
    <w:pPr>
      <w:widowControl w:val="0"/>
      <w:adjustRightInd/>
      <w:spacing w:before="9"/>
      <w:jc w:val="center"/>
    </w:pPr>
    <w:rPr>
      <w:rFonts w:asciiTheme="majorHAnsi" w:eastAsiaTheme="minorHAnsi" w:hAnsiTheme="majorHAnsi" w:cstheme="majorHAnsi"/>
      <w:b/>
      <w:bCs/>
      <w:color w:val="1E3B59"/>
      <w:sz w:val="52"/>
      <w:szCs w:val="52"/>
    </w:rPr>
  </w:style>
  <w:style w:type="paragraph" w:customStyle="1" w:styleId="SubttuloPortadaFactor">
    <w:name w:val="Subtítulo Portada Factor"/>
    <w:basedOn w:val="Normal"/>
    <w:rsid w:val="008775DD"/>
    <w:pPr>
      <w:spacing w:before="193"/>
      <w:jc w:val="center"/>
    </w:pPr>
    <w:rPr>
      <w:rFonts w:eastAsiaTheme="minorHAnsi" w:cstheme="majorHAnsi"/>
      <w:color w:val="808080" w:themeColor="background1" w:themeShade="80"/>
      <w:sz w:val="28"/>
    </w:rPr>
  </w:style>
  <w:style w:type="paragraph" w:customStyle="1" w:styleId="Factor">
    <w:name w:val="Factor"/>
    <w:basedOn w:val="Ttulo1"/>
    <w:qFormat/>
    <w:rsid w:val="008775DD"/>
    <w:pPr>
      <w:jc w:val="left"/>
    </w:pPr>
    <w:rPr>
      <w:bCs/>
      <w:color w:val="019F6C"/>
    </w:rPr>
  </w:style>
  <w:style w:type="table" w:styleId="Tablaconcuadrcula5oscura-nfasis3">
    <w:name w:val="Grid Table 5 Dark Accent 3"/>
    <w:basedOn w:val="Tablanormal"/>
    <w:uiPriority w:val="50"/>
    <w:rsid w:val="008775DD"/>
    <w:pPr>
      <w:spacing w:after="0" w:line="240" w:lineRule="auto"/>
    </w:pPr>
    <w:rPr>
      <w:rFonts w:eastAsiaTheme="minorHAns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paragraph" w:customStyle="1" w:styleId="Fuentetabla">
    <w:name w:val="Fuente tabla"/>
    <w:basedOn w:val="Normal"/>
    <w:rsid w:val="008775DD"/>
    <w:pPr>
      <w:spacing w:after="0" w:line="360" w:lineRule="auto"/>
      <w:jc w:val="right"/>
    </w:pPr>
    <w:rPr>
      <w:rFonts w:ascii="Century Gothic" w:eastAsiaTheme="minorHAnsi" w:hAnsi="Century Gothic"/>
      <w:color w:val="auto"/>
      <w:sz w:val="18"/>
      <w:szCs w:val="18"/>
      <w:lang w:val="en-US"/>
    </w:rPr>
  </w:style>
  <w:style w:type="paragraph" w:styleId="HTMLconformatoprevio">
    <w:name w:val="HTML Preformatted"/>
    <w:basedOn w:val="Normal"/>
    <w:link w:val="HTMLconformatoprevioCar"/>
    <w:uiPriority w:val="99"/>
    <w:unhideWhenUsed/>
    <w:rsid w:val="008775D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pPr>
    <w:rPr>
      <w:rFonts w:ascii="Courier New" w:eastAsia="Times New Roman" w:hAnsi="Courier New" w:cs="Courier New"/>
      <w:color w:val="auto"/>
      <w:szCs w:val="20"/>
      <w:lang w:eastAsia="es-ES"/>
    </w:rPr>
  </w:style>
  <w:style w:type="character" w:customStyle="1" w:styleId="HTMLconformatoprevioCar">
    <w:name w:val="HTML con formato previo Car"/>
    <w:basedOn w:val="Fuentedeprrafopredeter"/>
    <w:link w:val="HTMLconformatoprevio"/>
    <w:uiPriority w:val="99"/>
    <w:rsid w:val="008775DD"/>
    <w:rPr>
      <w:rFonts w:ascii="Courier New" w:eastAsia="Times New Roman" w:hAnsi="Courier New" w:cs="Courier New"/>
      <w:sz w:val="20"/>
      <w:szCs w:val="20"/>
      <w:lang w:eastAsia="es-ES"/>
    </w:rPr>
  </w:style>
  <w:style w:type="paragraph" w:styleId="NormalWeb">
    <w:name w:val="Normal (Web)"/>
    <w:basedOn w:val="Normal"/>
    <w:uiPriority w:val="99"/>
    <w:unhideWhenUsed/>
    <w:rsid w:val="008775DD"/>
    <w:pPr>
      <w:spacing w:before="100" w:beforeAutospacing="1" w:after="100" w:afterAutospacing="1" w:line="240" w:lineRule="auto"/>
      <w:jc w:val="left"/>
    </w:pPr>
    <w:rPr>
      <w:rFonts w:ascii="Times New Roman" w:eastAsia="Times New Roman" w:hAnsi="Times New Roman" w:cs="Times New Roman"/>
      <w:color w:val="auto"/>
      <w:sz w:val="24"/>
      <w:szCs w:val="24"/>
      <w:lang w:eastAsia="es-ES"/>
    </w:rPr>
  </w:style>
  <w:style w:type="paragraph" w:customStyle="1" w:styleId="P1">
    <w:name w:val="P1"/>
    <w:basedOn w:val="Normal"/>
    <w:link w:val="P1Zchn"/>
    <w:rsid w:val="008775DD"/>
    <w:pPr>
      <w:spacing w:before="120" w:after="120" w:line="240" w:lineRule="auto"/>
      <w:jc w:val="left"/>
    </w:pPr>
    <w:rPr>
      <w:rFonts w:eastAsiaTheme="minorEastAsia"/>
      <w:color w:val="auto"/>
      <w:sz w:val="22"/>
      <w:lang w:val="en-GB"/>
    </w:rPr>
  </w:style>
  <w:style w:type="character" w:customStyle="1" w:styleId="P1Zchn">
    <w:name w:val="P1 Zchn"/>
    <w:basedOn w:val="Fuentedeprrafopredeter"/>
    <w:link w:val="P1"/>
    <w:rsid w:val="008775DD"/>
    <w:rPr>
      <w:rFonts w:asciiTheme="majorHAnsi" w:eastAsiaTheme="minorEastAsia" w:hAnsiTheme="majorHAnsi"/>
      <w:lang w:val="en-GB"/>
    </w:rPr>
  </w:style>
  <w:style w:type="paragraph" w:customStyle="1" w:styleId="Normal1">
    <w:name w:val="Normal1"/>
    <w:basedOn w:val="Normal"/>
    <w:link w:val="NormalCar"/>
    <w:rsid w:val="008775DD"/>
    <w:pPr>
      <w:spacing w:before="120" w:after="0" w:line="276" w:lineRule="auto"/>
    </w:pPr>
    <w:rPr>
      <w:rFonts w:ascii="Arial" w:eastAsiaTheme="minorHAnsi" w:hAnsi="Arial" w:cs="Arial"/>
      <w:color w:val="00476B"/>
      <w:szCs w:val="20"/>
      <w:lang w:val="en-US"/>
    </w:rPr>
  </w:style>
  <w:style w:type="character" w:customStyle="1" w:styleId="NormalCar">
    <w:name w:val="Normal Car"/>
    <w:basedOn w:val="Fuentedeprrafopredeter"/>
    <w:link w:val="Normal1"/>
    <w:qFormat/>
    <w:rsid w:val="008775DD"/>
    <w:rPr>
      <w:rFonts w:ascii="Arial" w:eastAsiaTheme="minorHAnsi" w:hAnsi="Arial" w:cs="Arial"/>
      <w:color w:val="00476B"/>
      <w:sz w:val="20"/>
      <w:szCs w:val="20"/>
      <w:lang w:val="en-US"/>
    </w:rPr>
  </w:style>
  <w:style w:type="paragraph" w:customStyle="1" w:styleId="Prrafodelista4">
    <w:name w:val="Párrafo de lista4"/>
    <w:basedOn w:val="Normal"/>
    <w:rsid w:val="008775DD"/>
    <w:pPr>
      <w:suppressAutoHyphens/>
      <w:spacing w:before="120" w:after="0" w:line="240" w:lineRule="auto"/>
      <w:ind w:left="720"/>
      <w:contextualSpacing/>
      <w:jc w:val="left"/>
    </w:pPr>
    <w:rPr>
      <w:rFonts w:ascii="Liberation Serif" w:eastAsia="Noto Sans CJK SC Regular" w:hAnsi="Liberation Serif" w:cs="FreeSans"/>
      <w:color w:val="auto"/>
      <w:kern w:val="1"/>
      <w:sz w:val="24"/>
      <w:szCs w:val="24"/>
      <w:lang w:val="it-IT" w:eastAsia="zh-CN" w:bidi="hi-IN"/>
    </w:rPr>
  </w:style>
  <w:style w:type="paragraph" w:customStyle="1" w:styleId="p10">
    <w:name w:val="p1"/>
    <w:basedOn w:val="Normal"/>
    <w:rsid w:val="008775DD"/>
    <w:pPr>
      <w:spacing w:after="0" w:line="240" w:lineRule="auto"/>
      <w:jc w:val="left"/>
    </w:pPr>
    <w:rPr>
      <w:rFonts w:ascii="Helvetica" w:eastAsiaTheme="minorHAnsi" w:hAnsi="Helvetica" w:cs="Times New Roman"/>
      <w:color w:val="auto"/>
      <w:sz w:val="21"/>
      <w:szCs w:val="21"/>
      <w:lang w:val="en-US"/>
    </w:rPr>
  </w:style>
  <w:style w:type="paragraph" w:customStyle="1" w:styleId="Ttulo2nivelgris">
    <w:name w:val="Título_2º nivel gris"/>
    <w:basedOn w:val="Citadestacada"/>
    <w:link w:val="Ttulo2nivelgrisCar"/>
    <w:rsid w:val="008775DD"/>
    <w:pPr>
      <w:pBdr>
        <w:top w:val="none" w:sz="0" w:space="0" w:color="auto"/>
        <w:bottom w:val="single" w:sz="4" w:space="1" w:color="808080" w:themeColor="background1" w:themeShade="80"/>
      </w:pBdr>
      <w:spacing w:before="200" w:after="280" w:line="276" w:lineRule="auto"/>
      <w:ind w:left="993" w:right="936" w:hanging="426"/>
      <w:jc w:val="both"/>
    </w:pPr>
    <w:rPr>
      <w:rFonts w:ascii="Arial" w:hAnsi="Arial"/>
      <w:b/>
      <w:bCs/>
      <w:i w:val="0"/>
      <w:color w:val="808080" w:themeColor="background1" w:themeShade="80"/>
      <w:sz w:val="26"/>
      <w:szCs w:val="26"/>
    </w:rPr>
  </w:style>
  <w:style w:type="paragraph" w:styleId="Citadestacada">
    <w:name w:val="Intense Quote"/>
    <w:basedOn w:val="Normal"/>
    <w:next w:val="Normal"/>
    <w:link w:val="CitadestacadaCar"/>
    <w:uiPriority w:val="30"/>
    <w:rsid w:val="008775DD"/>
    <w:pPr>
      <w:pBdr>
        <w:top w:val="single" w:sz="4" w:space="10" w:color="4472C4" w:themeColor="accent1"/>
        <w:bottom w:val="single" w:sz="4" w:space="10" w:color="4472C4" w:themeColor="accent1"/>
      </w:pBdr>
      <w:spacing w:before="360" w:after="360"/>
      <w:ind w:left="864" w:right="864"/>
      <w:jc w:val="center"/>
    </w:pPr>
    <w:rPr>
      <w:rFonts w:eastAsiaTheme="minorHAnsi"/>
      <w:i/>
      <w:iCs/>
      <w:color w:val="4472C4" w:themeColor="accent1"/>
    </w:rPr>
  </w:style>
  <w:style w:type="character" w:customStyle="1" w:styleId="CitadestacadaCar">
    <w:name w:val="Cita destacada Car"/>
    <w:basedOn w:val="Fuentedeprrafopredeter"/>
    <w:link w:val="Citadestacada"/>
    <w:uiPriority w:val="30"/>
    <w:rsid w:val="008775DD"/>
    <w:rPr>
      <w:rFonts w:asciiTheme="majorHAnsi" w:eastAsiaTheme="minorHAnsi" w:hAnsiTheme="majorHAnsi"/>
      <w:i/>
      <w:iCs/>
      <w:color w:val="4472C4" w:themeColor="accent1"/>
      <w:sz w:val="20"/>
    </w:rPr>
  </w:style>
  <w:style w:type="character" w:customStyle="1" w:styleId="Ttulo2nivelgrisCar">
    <w:name w:val="Título_2º nivel gris Car"/>
    <w:basedOn w:val="Fuentedeprrafopredeter"/>
    <w:link w:val="Ttulo2nivelgris"/>
    <w:rsid w:val="008775DD"/>
    <w:rPr>
      <w:rFonts w:ascii="Arial" w:eastAsiaTheme="minorHAnsi" w:hAnsi="Arial"/>
      <w:b/>
      <w:bCs/>
      <w:iCs/>
      <w:color w:val="808080" w:themeColor="background1" w:themeShade="80"/>
      <w:sz w:val="26"/>
      <w:szCs w:val="26"/>
    </w:rPr>
  </w:style>
  <w:style w:type="table" w:customStyle="1" w:styleId="Tablaconcuadrcula2">
    <w:name w:val="Tabla con cuadrícula2"/>
    <w:basedOn w:val="Tablanormal"/>
    <w:next w:val="Tablaconcuadrcula"/>
    <w:uiPriority w:val="39"/>
    <w:rsid w:val="008775DD"/>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lista1clara-nfasis31">
    <w:name w:val="Tabla de lista 1 clara - Énfasis 31"/>
    <w:basedOn w:val="Tablanormal"/>
    <w:next w:val="Tabladelista1clara-nfasis3"/>
    <w:uiPriority w:val="46"/>
    <w:rsid w:val="008775DD"/>
    <w:pPr>
      <w:spacing w:after="0" w:line="240" w:lineRule="auto"/>
    </w:pPr>
    <w:rPr>
      <w:rFonts w:eastAsiaTheme="minorHAnsi"/>
    </w:rPr>
    <w:tblPr>
      <w:tblStyleRowBandSize w:val="1"/>
      <w:tblStyleColBandSize w:val="1"/>
    </w:tblPr>
    <w:tblStylePr w:type="firstRow">
      <w:rPr>
        <w:b/>
        <w:bCs/>
      </w:rPr>
      <w:tblPr/>
      <w:tcPr>
        <w:tcBorders>
          <w:bottom w:val="single" w:sz="4" w:space="0" w:color="C2D69B"/>
        </w:tcBorders>
      </w:tcPr>
    </w:tblStylePr>
    <w:tblStylePr w:type="lastRow">
      <w:rPr>
        <w:b/>
        <w:bCs/>
      </w:rPr>
      <w:tblPr/>
      <w:tcPr>
        <w:tcBorders>
          <w:top w:val="sing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styleId="Tabladelista1clara-nfasis3">
    <w:name w:val="List Table 1 Light Accent 3"/>
    <w:basedOn w:val="Tablanormal"/>
    <w:uiPriority w:val="46"/>
    <w:rsid w:val="008775DD"/>
    <w:pPr>
      <w:spacing w:after="0" w:line="240" w:lineRule="auto"/>
    </w:pPr>
    <w:rPr>
      <w:rFonts w:eastAsiaTheme="minorHAnsi"/>
    </w:rPr>
    <w:tblPr>
      <w:tblStyleRowBandSize w:val="1"/>
      <w:tblStyleColBandSize w:val="1"/>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styleId="Mencinsinresolver">
    <w:name w:val="Unresolved Mention"/>
    <w:basedOn w:val="Fuentedeprrafopredeter"/>
    <w:uiPriority w:val="99"/>
    <w:unhideWhenUsed/>
    <w:rsid w:val="008775DD"/>
    <w:rPr>
      <w:color w:val="605E5C"/>
      <w:shd w:val="clear" w:color="auto" w:fill="E1DFDD"/>
    </w:rPr>
  </w:style>
  <w:style w:type="paragraph" w:customStyle="1" w:styleId="Prrafo">
    <w:name w:val="Párrafo"/>
    <w:basedOn w:val="Normal"/>
    <w:link w:val="PrrafoCar"/>
    <w:rsid w:val="008775DD"/>
    <w:pPr>
      <w:spacing w:after="200" w:line="240" w:lineRule="auto"/>
    </w:pPr>
    <w:rPr>
      <w:rFonts w:ascii="Museo 300" w:eastAsiaTheme="minorHAnsi" w:hAnsi="Museo 300" w:cs="Gill Sans"/>
      <w:color w:val="595959" w:themeColor="text1" w:themeTint="A6"/>
      <w:sz w:val="24"/>
    </w:rPr>
  </w:style>
  <w:style w:type="character" w:customStyle="1" w:styleId="PrrafoCar">
    <w:name w:val="Párrafo Car"/>
    <w:basedOn w:val="Fuentedeprrafopredeter"/>
    <w:link w:val="Prrafo"/>
    <w:rsid w:val="008775DD"/>
    <w:rPr>
      <w:rFonts w:ascii="Museo 300" w:eastAsiaTheme="minorHAnsi" w:hAnsi="Museo 300" w:cs="Gill Sans"/>
      <w:color w:val="595959" w:themeColor="text1" w:themeTint="A6"/>
      <w:sz w:val="24"/>
    </w:rPr>
  </w:style>
  <w:style w:type="paragraph" w:customStyle="1" w:styleId="FigurayTabla">
    <w:name w:val="Figura y Tabla"/>
    <w:basedOn w:val="Prrafo"/>
    <w:link w:val="FigurayTablaCar"/>
    <w:rsid w:val="008775DD"/>
    <w:pPr>
      <w:keepNext/>
      <w:spacing w:after="0"/>
      <w:jc w:val="left"/>
    </w:pPr>
    <w:rPr>
      <w:rFonts w:ascii="Open Sans" w:hAnsi="Open Sans"/>
      <w:sz w:val="20"/>
      <w:szCs w:val="18"/>
    </w:rPr>
  </w:style>
  <w:style w:type="character" w:customStyle="1" w:styleId="FigurayTablaCar">
    <w:name w:val="Figura y Tabla Car"/>
    <w:basedOn w:val="PrrafoCar"/>
    <w:link w:val="FigurayTabla"/>
    <w:rsid w:val="008775DD"/>
    <w:rPr>
      <w:rFonts w:ascii="Open Sans" w:eastAsiaTheme="minorHAnsi" w:hAnsi="Open Sans" w:cs="Gill Sans"/>
      <w:color w:val="595959" w:themeColor="text1" w:themeTint="A6"/>
      <w:sz w:val="20"/>
      <w:szCs w:val="18"/>
    </w:rPr>
  </w:style>
  <w:style w:type="table" w:customStyle="1" w:styleId="FactorArreglos">
    <w:name w:val="Factor Arreglos"/>
    <w:basedOn w:val="Tablanormal"/>
    <w:uiPriority w:val="99"/>
    <w:rsid w:val="008775DD"/>
    <w:pPr>
      <w:spacing w:after="0" w:line="240" w:lineRule="auto"/>
    </w:pPr>
    <w:rPr>
      <w:rFonts w:ascii="Open Sans" w:eastAsiaTheme="minorHAnsi" w:hAnsi="Open Sans"/>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Pr>
    <w:tblStylePr w:type="firstRow">
      <w:rPr>
        <w:color w:val="FFFFFF" w:themeColor="background1"/>
      </w:rPr>
      <w:tblPr/>
      <w:tcPr>
        <w:shd w:val="clear" w:color="auto" w:fill="222A35" w:themeFill="text2" w:themeFillShade="80"/>
      </w:tcPr>
    </w:tblStylePr>
  </w:style>
  <w:style w:type="character" w:styleId="nfasis">
    <w:name w:val="Emphasis"/>
    <w:basedOn w:val="Fuentedeprrafopredeter"/>
    <w:uiPriority w:val="20"/>
    <w:rsid w:val="008775DD"/>
    <w:rPr>
      <w:i/>
      <w:iCs/>
    </w:rPr>
  </w:style>
  <w:style w:type="table" w:customStyle="1" w:styleId="DefaultTable1">
    <w:name w:val="Default Table1"/>
    <w:basedOn w:val="Tablanormal"/>
    <w:next w:val="Tablaconcuadrcula"/>
    <w:uiPriority w:val="59"/>
    <w:rsid w:val="008775DD"/>
    <w:pPr>
      <w:spacing w:after="0" w:line="240" w:lineRule="auto"/>
    </w:pPr>
    <w:rPr>
      <w:rFonts w:eastAsiaTheme="minorHAnsi"/>
      <w:szCs w:val="28"/>
      <w:lang w:bidi="th-TH"/>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iPriority w:val="2"/>
    <w:semiHidden/>
    <w:unhideWhenUsed/>
    <w:qFormat/>
    <w:rsid w:val="008775DD"/>
    <w:pPr>
      <w:widowControl w:val="0"/>
      <w:autoSpaceDE w:val="0"/>
      <w:autoSpaceDN w:val="0"/>
      <w:spacing w:after="0" w:line="240" w:lineRule="auto"/>
    </w:pPr>
    <w:rPr>
      <w:rFonts w:eastAsiaTheme="minorHAnsi"/>
      <w:lang w:val="en-US"/>
    </w:rPr>
    <w:tblPr>
      <w:tblInd w:w="0" w:type="dxa"/>
      <w:tblCellMar>
        <w:top w:w="0" w:type="dxa"/>
        <w:left w:w="0" w:type="dxa"/>
        <w:bottom w:w="0" w:type="dxa"/>
        <w:right w:w="0" w:type="dxa"/>
      </w:tblCellMar>
    </w:tblPr>
  </w:style>
  <w:style w:type="table" w:customStyle="1" w:styleId="DefaultTable2">
    <w:name w:val="Default Table2"/>
    <w:basedOn w:val="Tablanormal"/>
    <w:next w:val="Tablaconcuadrcula"/>
    <w:uiPriority w:val="59"/>
    <w:rsid w:val="008775DD"/>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anormal"/>
    <w:uiPriority w:val="59"/>
    <w:rsid w:val="008775DD"/>
    <w:pPr>
      <w:spacing w:after="0" w:line="240" w:lineRule="auto"/>
    </w:pPr>
    <w:rPr>
      <w:rFonts w:ascii="Times New Roman" w:eastAsia="Calibri"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ccresultamount">
    <w:name w:val="uccresultamount"/>
    <w:basedOn w:val="Fuentedeprrafopredeter"/>
    <w:rsid w:val="008775DD"/>
  </w:style>
  <w:style w:type="table" w:customStyle="1" w:styleId="TableNormal2">
    <w:name w:val="Table Normal2"/>
    <w:uiPriority w:val="2"/>
    <w:semiHidden/>
    <w:unhideWhenUsed/>
    <w:qFormat/>
    <w:rsid w:val="008775DD"/>
    <w:pPr>
      <w:widowControl w:val="0"/>
      <w:autoSpaceDE w:val="0"/>
      <w:autoSpaceDN w:val="0"/>
      <w:spacing w:after="0" w:line="240" w:lineRule="auto"/>
    </w:pPr>
    <w:rPr>
      <w:rFonts w:eastAsiaTheme="minorHAnsi"/>
      <w:lang w:val="en-US"/>
    </w:rPr>
    <w:tblPr>
      <w:tblInd w:w="0" w:type="dxa"/>
      <w:tblCellMar>
        <w:top w:w="0" w:type="dxa"/>
        <w:left w:w="0" w:type="dxa"/>
        <w:bottom w:w="0" w:type="dxa"/>
        <w:right w:w="0" w:type="dxa"/>
      </w:tblCellMar>
    </w:tblPr>
  </w:style>
  <w:style w:type="table" w:customStyle="1" w:styleId="Tabellengitternetz1">
    <w:name w:val="Tabellengitternetz1"/>
    <w:basedOn w:val="Tablanormal"/>
    <w:next w:val="Tablaconcuadrcula"/>
    <w:uiPriority w:val="59"/>
    <w:rsid w:val="008775DD"/>
    <w:pPr>
      <w:spacing w:after="0" w:line="240" w:lineRule="auto"/>
    </w:pPr>
    <w:rPr>
      <w:rFonts w:eastAsiaTheme="minorHAnsi"/>
      <w:szCs w:val="28"/>
      <w:lang w:bidi="th-TH"/>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oscura-nfasis32">
    <w:name w:val="Tabla con cuadrícula 5 oscura - Énfasis 32"/>
    <w:basedOn w:val="Tablanormal"/>
    <w:next w:val="Tablaconcuadrcula5oscura-nfasis3"/>
    <w:uiPriority w:val="50"/>
    <w:rsid w:val="008775DD"/>
    <w:pPr>
      <w:spacing w:after="0" w:line="240" w:lineRule="auto"/>
    </w:pPr>
    <w:rPr>
      <w:rFonts w:eastAsiaTheme="minorHAns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customStyle="1" w:styleId="MediumGrid2-Accent321">
    <w:name w:val="Medium Grid 2 - Accent 321"/>
    <w:basedOn w:val="Tablanormal"/>
    <w:uiPriority w:val="68"/>
    <w:rsid w:val="008775DD"/>
    <w:pPr>
      <w:spacing w:after="0" w:line="240" w:lineRule="auto"/>
    </w:pPr>
    <w:rPr>
      <w:rFonts w:ascii="Cambria" w:eastAsia="Times New Roman" w:hAnsi="Cambria" w:cs="Times New Roman"/>
      <w:color w:val="000000"/>
      <w:lang w:bidi="th-TH"/>
    </w:rPr>
    <w:tblPr>
      <w:tblStyleRowBandSize w:val="1"/>
      <w:tblStyleColBandSize w:val="1"/>
      <w:tblInd w:w="0" w:type="nil"/>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cPr>
      <w:shd w:val="clear" w:color="auto" w:fill="E6EED5"/>
    </w:tcPr>
    <w:tblStylePr w:type="firstRow">
      <w:rPr>
        <w:b/>
        <w:bCs/>
        <w:color w:val="000000"/>
      </w:rPr>
      <w:tblPr/>
      <w:tcPr>
        <w:shd w:val="clear" w:color="auto" w:fill="F5F8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AF1DD"/>
      </w:tcPr>
    </w:tblStylePr>
    <w:tblStylePr w:type="band1Vert">
      <w:tblPr/>
      <w:tcPr>
        <w:shd w:val="clear" w:color="auto" w:fill="CDDDAC"/>
      </w:tcPr>
    </w:tblStylePr>
  </w:style>
  <w:style w:type="paragraph" w:styleId="Textoindependiente2">
    <w:name w:val="Body Text 2"/>
    <w:basedOn w:val="Normal"/>
    <w:link w:val="Textoindependiente2Car"/>
    <w:uiPriority w:val="99"/>
    <w:unhideWhenUsed/>
    <w:rsid w:val="008775DD"/>
    <w:pPr>
      <w:spacing w:after="120" w:line="480" w:lineRule="auto"/>
    </w:pPr>
    <w:rPr>
      <w:rFonts w:eastAsiaTheme="minorHAnsi"/>
      <w:color w:val="auto"/>
    </w:rPr>
  </w:style>
  <w:style w:type="character" w:customStyle="1" w:styleId="Textoindependiente2Car">
    <w:name w:val="Texto independiente 2 Car"/>
    <w:basedOn w:val="Fuentedeprrafopredeter"/>
    <w:link w:val="Textoindependiente2"/>
    <w:uiPriority w:val="99"/>
    <w:rsid w:val="008775DD"/>
    <w:rPr>
      <w:rFonts w:asciiTheme="majorHAnsi" w:eastAsiaTheme="minorHAnsi" w:hAnsiTheme="majorHAnsi"/>
      <w:sz w:val="20"/>
    </w:rPr>
  </w:style>
  <w:style w:type="character" w:styleId="Refdenotaalfinal">
    <w:name w:val="endnote reference"/>
    <w:basedOn w:val="Fuentedeprrafopredeter"/>
    <w:uiPriority w:val="99"/>
    <w:semiHidden/>
    <w:unhideWhenUsed/>
    <w:qFormat/>
    <w:rsid w:val="008775DD"/>
    <w:rPr>
      <w:vertAlign w:val="superscript"/>
    </w:rPr>
  </w:style>
  <w:style w:type="paragraph" w:customStyle="1" w:styleId="Table">
    <w:name w:val="Table"/>
    <w:basedOn w:val="Normal"/>
    <w:autoRedefine/>
    <w:rsid w:val="008775DD"/>
    <w:pPr>
      <w:keepLines/>
      <w:widowControl w:val="0"/>
      <w:autoSpaceDE w:val="0"/>
      <w:autoSpaceDN w:val="0"/>
      <w:adjustRightInd w:val="0"/>
      <w:spacing w:after="0" w:line="240" w:lineRule="auto"/>
      <w:jc w:val="center"/>
    </w:pPr>
    <w:rPr>
      <w:rFonts w:eastAsia="Arial Unicode MS" w:cstheme="majorHAnsi"/>
      <w:color w:val="auto"/>
      <w:sz w:val="18"/>
      <w:szCs w:val="18"/>
      <w:lang w:val="en-GB"/>
    </w:rPr>
  </w:style>
  <w:style w:type="paragraph" w:customStyle="1" w:styleId="1">
    <w:name w:val="Обычный1"/>
    <w:rsid w:val="008775DD"/>
    <w:pPr>
      <w:spacing w:line="254" w:lineRule="auto"/>
    </w:pPr>
    <w:rPr>
      <w:rFonts w:ascii="Calibri" w:eastAsia="Calibri" w:hAnsi="Calibri" w:cs="Calibri"/>
      <w:lang w:val="en-US" w:eastAsia="ru-RU"/>
    </w:rPr>
  </w:style>
  <w:style w:type="paragraph" w:customStyle="1" w:styleId="normaltableau">
    <w:name w:val="normal_tableau"/>
    <w:basedOn w:val="Normal"/>
    <w:uiPriority w:val="99"/>
    <w:rsid w:val="008775DD"/>
    <w:pPr>
      <w:spacing w:before="120" w:after="120" w:line="240" w:lineRule="auto"/>
    </w:pPr>
    <w:rPr>
      <w:rFonts w:ascii="Optima" w:eastAsia="Times New Roman" w:hAnsi="Optima" w:cs="Times New Roman"/>
      <w:color w:val="auto"/>
      <w:sz w:val="22"/>
      <w:szCs w:val="20"/>
      <w:lang w:val="en-GB" w:eastAsia="en-GB"/>
    </w:rPr>
  </w:style>
  <w:style w:type="numbering" w:customStyle="1" w:styleId="Sinlista1">
    <w:name w:val="Sin lista1"/>
    <w:next w:val="Sinlista"/>
    <w:uiPriority w:val="99"/>
    <w:semiHidden/>
    <w:unhideWhenUsed/>
    <w:rsid w:val="008775DD"/>
  </w:style>
  <w:style w:type="character" w:styleId="Nmerodepgina">
    <w:name w:val="page number"/>
    <w:basedOn w:val="Fuentedeprrafopredeter"/>
    <w:rsid w:val="008775DD"/>
  </w:style>
  <w:style w:type="paragraph" w:customStyle="1" w:styleId="TableParagraph">
    <w:name w:val="Table Paragraph"/>
    <w:basedOn w:val="Normal"/>
    <w:uiPriority w:val="1"/>
    <w:rsid w:val="008775DD"/>
    <w:pPr>
      <w:widowControl w:val="0"/>
      <w:autoSpaceDE w:val="0"/>
      <w:autoSpaceDN w:val="0"/>
      <w:spacing w:after="0" w:line="240" w:lineRule="auto"/>
      <w:ind w:left="101"/>
      <w:jc w:val="left"/>
    </w:pPr>
    <w:rPr>
      <w:rFonts w:ascii="Arial Narrow" w:eastAsia="Arial Narrow" w:hAnsi="Arial Narrow" w:cs="Arial Narrow"/>
      <w:color w:val="auto"/>
      <w:sz w:val="22"/>
      <w:lang w:val="en-US"/>
    </w:rPr>
  </w:style>
  <w:style w:type="paragraph" w:customStyle="1" w:styleId="CVNormal">
    <w:name w:val="CV Normal"/>
    <w:basedOn w:val="Normal"/>
    <w:rsid w:val="008775DD"/>
    <w:pPr>
      <w:suppressAutoHyphens/>
      <w:spacing w:after="0" w:line="240" w:lineRule="auto"/>
      <w:ind w:left="113" w:right="113"/>
      <w:jc w:val="left"/>
    </w:pPr>
    <w:rPr>
      <w:rFonts w:ascii="Arial Narrow" w:eastAsia="Times New Roman" w:hAnsi="Arial Narrow" w:cs="Times New Roman"/>
      <w:color w:val="auto"/>
      <w:szCs w:val="20"/>
      <w:lang w:val="en-US" w:eastAsia="ar-SA"/>
    </w:rPr>
  </w:style>
  <w:style w:type="paragraph" w:customStyle="1" w:styleId="BulletpointsinCV">
    <w:name w:val="Bullet points in CV"/>
    <w:basedOn w:val="Prrafodelista"/>
    <w:link w:val="BulletpointsinCVCar"/>
    <w:rsid w:val="008775DD"/>
    <w:pPr>
      <w:numPr>
        <w:numId w:val="5"/>
      </w:numPr>
      <w:spacing w:after="0" w:line="276" w:lineRule="auto"/>
    </w:pPr>
    <w:rPr>
      <w:rFonts w:ascii="Century Gothic" w:eastAsia="Century Gothic" w:hAnsi="Century Gothic" w:cs="Times New Roman"/>
      <w:color w:val="auto"/>
      <w:szCs w:val="20"/>
      <w:lang w:val="en-US" w:eastAsia="es-ES"/>
    </w:rPr>
  </w:style>
  <w:style w:type="character" w:customStyle="1" w:styleId="BulletpointsinCVCar">
    <w:name w:val="Bullet points in CV Car"/>
    <w:basedOn w:val="Fuentedeprrafopredeter"/>
    <w:link w:val="BulletpointsinCV"/>
    <w:rsid w:val="008775DD"/>
    <w:rPr>
      <w:rFonts w:ascii="Century Gothic" w:eastAsia="Century Gothic" w:hAnsi="Century Gothic" w:cs="Times New Roman"/>
      <w:sz w:val="20"/>
      <w:szCs w:val="20"/>
      <w:lang w:val="en-US" w:eastAsia="es-ES"/>
    </w:rPr>
  </w:style>
  <w:style w:type="table" w:styleId="Cuadrculamedia3-nfasis1">
    <w:name w:val="Medium Grid 3 Accent 1"/>
    <w:basedOn w:val="Tablanormal"/>
    <w:uiPriority w:val="69"/>
    <w:semiHidden/>
    <w:unhideWhenUsed/>
    <w:rsid w:val="008775DD"/>
    <w:pPr>
      <w:spacing w:after="0" w:line="240" w:lineRule="auto"/>
    </w:pPr>
    <w:rPr>
      <w:rFonts w:ascii="Calibri" w:eastAsia="Calibri" w:hAnsi="Calibri" w:cs="Times New Roman"/>
      <w:sz w:val="20"/>
      <w:szCs w:val="20"/>
    </w:rPr>
    <w:tblPr>
      <w:tblStyleRowBandSize w:val="1"/>
      <w:tblStyleColBandSize w:val="1"/>
      <w:tblInd w:w="0" w:type="nil"/>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0DBF0"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472C4"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472C4"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472C4"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472C4"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1B8E1"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1B8E1" w:themeFill="accent1" w:themeFillTint="7F"/>
      </w:tcPr>
    </w:tblStylePr>
  </w:style>
  <w:style w:type="character" w:customStyle="1" w:styleId="TITLE2Car">
    <w:name w:val="TITLE 2 Car"/>
    <w:basedOn w:val="Fuentedeprrafopredeter"/>
    <w:link w:val="TITLE2"/>
    <w:locked/>
    <w:rsid w:val="008775DD"/>
    <w:rPr>
      <w:rFonts w:asciiTheme="majorHAnsi" w:eastAsiaTheme="majorEastAsia" w:hAnsiTheme="majorHAnsi" w:cstheme="majorHAnsi"/>
      <w:b/>
      <w:color w:val="4F657D"/>
      <w:sz w:val="24"/>
      <w:lang w:val="en-US" w:eastAsia="es-ES"/>
    </w:rPr>
  </w:style>
  <w:style w:type="paragraph" w:customStyle="1" w:styleId="TITLE2">
    <w:name w:val="TITLE 2"/>
    <w:basedOn w:val="Ttulo2"/>
    <w:link w:val="TITLE2Car"/>
    <w:rsid w:val="008775DD"/>
    <w:pPr>
      <w:keepNext w:val="0"/>
      <w:keepLines w:val="0"/>
      <w:numPr>
        <w:numId w:val="0"/>
      </w:numPr>
      <w:spacing w:before="120" w:after="160"/>
      <w:ind w:left="357" w:hanging="357"/>
      <w:jc w:val="left"/>
      <w:outlineLvl w:val="9"/>
    </w:pPr>
    <w:rPr>
      <w:rFonts w:asciiTheme="majorHAnsi" w:hAnsiTheme="majorHAnsi" w:cstheme="majorHAnsi"/>
      <w:color w:val="4F657D"/>
      <w:sz w:val="24"/>
      <w:szCs w:val="22"/>
      <w:lang w:val="en-US" w:eastAsia="es-ES"/>
    </w:rPr>
  </w:style>
  <w:style w:type="paragraph" w:customStyle="1" w:styleId="Ttulo40">
    <w:name w:val="Título4"/>
    <w:basedOn w:val="TITLE2"/>
    <w:next w:val="PrrafoFactor"/>
    <w:link w:val="Ttulo4Car0"/>
    <w:rsid w:val="008775DD"/>
    <w:rPr>
      <w:szCs w:val="32"/>
    </w:rPr>
  </w:style>
  <w:style w:type="character" w:customStyle="1" w:styleId="Ttulo4Car0">
    <w:name w:val="Título4 Car"/>
    <w:basedOn w:val="Ttulo4Car"/>
    <w:link w:val="Ttulo40"/>
    <w:rsid w:val="008775DD"/>
    <w:rPr>
      <w:rFonts w:asciiTheme="majorHAnsi" w:eastAsiaTheme="majorEastAsia" w:hAnsiTheme="majorHAnsi" w:cstheme="majorHAnsi"/>
      <w:b/>
      <w:bCs w:val="0"/>
      <w:color w:val="4F657D"/>
      <w:sz w:val="24"/>
      <w:szCs w:val="32"/>
      <w:lang w:val="en-US" w:eastAsia="es-ES"/>
    </w:rPr>
  </w:style>
  <w:style w:type="character" w:styleId="Hipervnculovisitado">
    <w:name w:val="FollowedHyperlink"/>
    <w:basedOn w:val="Fuentedeprrafopredeter"/>
    <w:uiPriority w:val="99"/>
    <w:semiHidden/>
    <w:unhideWhenUsed/>
    <w:rsid w:val="008775DD"/>
    <w:rPr>
      <w:color w:val="954F72" w:themeColor="followedHyperlink"/>
      <w:u w:val="single"/>
    </w:rPr>
  </w:style>
  <w:style w:type="paragraph" w:customStyle="1" w:styleId="EYBodytextnoparaspace">
    <w:name w:val="EY Body text (no para space)"/>
    <w:basedOn w:val="Normal"/>
    <w:link w:val="EYBodytextnoparaspaceChar"/>
    <w:rsid w:val="008775DD"/>
    <w:pPr>
      <w:tabs>
        <w:tab w:val="left" w:pos="907"/>
      </w:tabs>
      <w:overflowPunct w:val="0"/>
      <w:autoSpaceDE w:val="0"/>
      <w:autoSpaceDN w:val="0"/>
      <w:adjustRightInd w:val="0"/>
      <w:spacing w:before="60" w:after="60" w:line="260" w:lineRule="atLeast"/>
      <w:textAlignment w:val="baseline"/>
    </w:pPr>
    <w:rPr>
      <w:rFonts w:ascii="EYInterstate Light" w:eastAsia="Times New Roman" w:hAnsi="EYInterstate Light" w:cs="Times New Roman"/>
      <w:color w:val="auto"/>
      <w:kern w:val="12"/>
      <w:szCs w:val="20"/>
      <w:lang w:val="en-GB"/>
    </w:rPr>
  </w:style>
  <w:style w:type="character" w:customStyle="1" w:styleId="EYBodytextnoparaspaceChar">
    <w:name w:val="EY Body text (no para space) Char"/>
    <w:basedOn w:val="Fuentedeprrafopredeter"/>
    <w:link w:val="EYBodytextnoparaspace"/>
    <w:rsid w:val="008775DD"/>
    <w:rPr>
      <w:rFonts w:ascii="EYInterstate Light" w:eastAsia="Times New Roman" w:hAnsi="EYInterstate Light" w:cs="Times New Roman"/>
      <w:kern w:val="12"/>
      <w:sz w:val="20"/>
      <w:szCs w:val="20"/>
      <w:lang w:val="en-GB"/>
    </w:rPr>
  </w:style>
  <w:style w:type="paragraph" w:customStyle="1" w:styleId="TableContents">
    <w:name w:val="Table Contents"/>
    <w:basedOn w:val="Normal"/>
    <w:uiPriority w:val="99"/>
    <w:rsid w:val="008775DD"/>
    <w:pPr>
      <w:widowControl w:val="0"/>
      <w:autoSpaceDE w:val="0"/>
      <w:autoSpaceDN w:val="0"/>
      <w:adjustRightInd w:val="0"/>
      <w:spacing w:after="283" w:line="240" w:lineRule="auto"/>
      <w:jc w:val="left"/>
    </w:pPr>
    <w:rPr>
      <w:rFonts w:ascii="Liberation Serif" w:eastAsiaTheme="minorEastAsia" w:hAnsi="Liberation Serif" w:cs="Times New Roman"/>
      <w:color w:val="auto"/>
      <w:sz w:val="24"/>
      <w:szCs w:val="24"/>
      <w:lang w:val="en-US"/>
    </w:rPr>
  </w:style>
  <w:style w:type="paragraph" w:styleId="Revisin">
    <w:name w:val="Revision"/>
    <w:hidden/>
    <w:uiPriority w:val="99"/>
    <w:semiHidden/>
    <w:rsid w:val="008775DD"/>
    <w:pPr>
      <w:spacing w:after="0" w:line="240" w:lineRule="auto"/>
    </w:pPr>
    <w:rPr>
      <w:rFonts w:asciiTheme="majorHAnsi" w:eastAsiaTheme="minorHAnsi" w:hAnsiTheme="majorHAnsi"/>
      <w:sz w:val="20"/>
      <w:lang w:val="en-029"/>
    </w:rPr>
  </w:style>
  <w:style w:type="table" w:customStyle="1" w:styleId="TablaconcuadrculaNueva22">
    <w:name w:val="Tabla con cuadrícula Nueva22"/>
    <w:basedOn w:val="Tablanormal"/>
    <w:uiPriority w:val="59"/>
    <w:rsid w:val="008775DD"/>
    <w:pPr>
      <w:spacing w:after="0" w:line="240" w:lineRule="auto"/>
    </w:pPr>
    <w:rPr>
      <w:rFonts w:ascii="Calibri" w:eastAsia="Calibri"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oscura-nfasis322">
    <w:name w:val="Tabla con cuadrícula 5 oscura - Énfasis 322"/>
    <w:basedOn w:val="Tablanormal"/>
    <w:next w:val="Tablaconcuadrcula5oscura-nfasis3"/>
    <w:uiPriority w:val="50"/>
    <w:rsid w:val="008775DD"/>
    <w:pPr>
      <w:spacing w:after="0" w:line="240" w:lineRule="auto"/>
    </w:pPr>
    <w:rPr>
      <w:rFonts w:eastAsiaTheme="minorHAns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character" w:customStyle="1" w:styleId="hps">
    <w:name w:val="hps"/>
    <w:basedOn w:val="Fuentedeprrafopredeter"/>
    <w:rsid w:val="008775DD"/>
  </w:style>
  <w:style w:type="paragraph" w:customStyle="1" w:styleId="BVIfnrCharCharChar1CharCharCharCharCharCharChar1CharCharChar1Char">
    <w:name w:val="BVI fnr (文字) (文字) Char (文字) Char Char1 Char Char Char Char Char Char Char1 Char Char Char1 Char"/>
    <w:aliases w:val="BVI fnr (文字) (文字) Char (文字) Char Char1 Char Char Char Char Char Char Char1 Char Char Char Char Char Char1 Char Char"/>
    <w:basedOn w:val="Normal"/>
    <w:uiPriority w:val="99"/>
    <w:rsid w:val="008775DD"/>
    <w:pPr>
      <w:spacing w:after="0" w:line="240" w:lineRule="exact"/>
    </w:pPr>
    <w:rPr>
      <w:rFonts w:asciiTheme="minorHAnsi" w:eastAsiaTheme="minorHAnsi" w:hAnsiTheme="minorHAnsi"/>
      <w:color w:val="auto"/>
      <w:sz w:val="22"/>
      <w:vertAlign w:val="superscript"/>
    </w:rPr>
  </w:style>
  <w:style w:type="table" w:styleId="Tablaconcuadrcula4-nfasis1">
    <w:name w:val="Grid Table 4 Accent 1"/>
    <w:basedOn w:val="Tablanormal"/>
    <w:uiPriority w:val="49"/>
    <w:rsid w:val="008775DD"/>
    <w:pPr>
      <w:spacing w:after="0" w:line="240" w:lineRule="auto"/>
    </w:pPr>
    <w:rPr>
      <w:rFonts w:eastAsiaTheme="minorHAnsi"/>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Tablanormal31">
    <w:name w:val="Tabla normal 31"/>
    <w:basedOn w:val="Tablanormal"/>
    <w:uiPriority w:val="43"/>
    <w:rsid w:val="008775DD"/>
    <w:pPr>
      <w:spacing w:after="0" w:line="240" w:lineRule="auto"/>
    </w:pPr>
    <w:rPr>
      <w:rFonts w:eastAsiaTheme="minorHAnsi"/>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Tablaconcuadrcula1clara">
    <w:name w:val="Grid Table 1 Light"/>
    <w:basedOn w:val="Tablanormal"/>
    <w:uiPriority w:val="46"/>
    <w:rsid w:val="008775DD"/>
    <w:pPr>
      <w:spacing w:after="0" w:line="240" w:lineRule="auto"/>
    </w:pPr>
    <w:rPr>
      <w:rFonts w:eastAsiaTheme="minorHAnsi"/>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Listaclara-nfasis3">
    <w:name w:val="Light List Accent 3"/>
    <w:basedOn w:val="Tablanormal"/>
    <w:uiPriority w:val="61"/>
    <w:rsid w:val="008775DD"/>
    <w:pPr>
      <w:spacing w:after="0" w:line="240" w:lineRule="auto"/>
    </w:pPr>
    <w:rPr>
      <w:rFonts w:ascii="Calibri" w:eastAsia="Calibri" w:hAnsi="Calibri" w:cs="Times New Roman"/>
      <w:sz w:val="20"/>
      <w:szCs w:val="20"/>
      <w:lang w:eastAsia="es-ES"/>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paragraph" w:customStyle="1" w:styleId="EmptyCellLayoutStyle">
    <w:name w:val="EmptyCellLayoutStyle"/>
    <w:rsid w:val="008775DD"/>
    <w:rPr>
      <w:rFonts w:ascii="Times New Roman" w:eastAsia="Times New Roman" w:hAnsi="Times New Roman" w:cs="Times New Roman"/>
      <w:sz w:val="2"/>
      <w:szCs w:val="20"/>
      <w:lang w:eastAsia="es-ES"/>
    </w:rPr>
  </w:style>
  <w:style w:type="table" w:styleId="Tablaconcuadrcula4-nfasis6">
    <w:name w:val="Grid Table 4 Accent 6"/>
    <w:basedOn w:val="Tablanormal"/>
    <w:uiPriority w:val="49"/>
    <w:rsid w:val="008775DD"/>
    <w:pPr>
      <w:spacing w:after="0" w:line="240" w:lineRule="auto"/>
    </w:pPr>
    <w:rPr>
      <w:rFonts w:eastAsiaTheme="minorHAnsi"/>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customStyle="1" w:styleId="paragraph">
    <w:name w:val="paragraph"/>
    <w:basedOn w:val="Normal"/>
    <w:link w:val="paragraphCar"/>
    <w:rsid w:val="008775DD"/>
    <w:pPr>
      <w:spacing w:before="100" w:beforeAutospacing="1" w:after="100" w:afterAutospacing="1" w:line="240" w:lineRule="auto"/>
    </w:pPr>
    <w:rPr>
      <w:rFonts w:ascii="Times New Roman" w:eastAsia="Times New Roman" w:hAnsi="Times New Roman" w:cs="Times New Roman"/>
      <w:color w:val="auto"/>
      <w:sz w:val="24"/>
      <w:szCs w:val="24"/>
      <w:lang w:val="es-EC" w:eastAsia="es-EC"/>
    </w:rPr>
  </w:style>
  <w:style w:type="table" w:customStyle="1" w:styleId="Tablaconcuadrcula1clara1">
    <w:name w:val="Tabla con cuadrícula 1 clara1"/>
    <w:basedOn w:val="Tablanormal"/>
    <w:next w:val="Tablaconcuadrcula1clara"/>
    <w:uiPriority w:val="46"/>
    <w:rsid w:val="008775DD"/>
    <w:pPr>
      <w:spacing w:after="0" w:line="240" w:lineRule="auto"/>
    </w:pPr>
    <w:rPr>
      <w:rFonts w:eastAsiaTheme="minorHAnsi"/>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aconcuadrcula1clara2">
    <w:name w:val="Tabla con cuadrícula 1 clara2"/>
    <w:basedOn w:val="Tablanormal"/>
    <w:next w:val="Tablaconcuadrcula1clara"/>
    <w:uiPriority w:val="46"/>
    <w:rsid w:val="008775DD"/>
    <w:pPr>
      <w:spacing w:after="0" w:line="240" w:lineRule="auto"/>
    </w:pPr>
    <w:rPr>
      <w:rFonts w:eastAsiaTheme="minorHAnsi"/>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aconcuadrcula1clara3">
    <w:name w:val="Tabla con cuadrícula 1 clara3"/>
    <w:basedOn w:val="Tablanormal"/>
    <w:next w:val="Tablaconcuadrcula1clara"/>
    <w:uiPriority w:val="46"/>
    <w:rsid w:val="008775DD"/>
    <w:pPr>
      <w:spacing w:after="0" w:line="240" w:lineRule="auto"/>
    </w:pPr>
    <w:rPr>
      <w:rFonts w:eastAsiaTheme="minorHAnsi"/>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Subtitulo3">
    <w:name w:val="Subtitulo 3"/>
    <w:basedOn w:val="Default"/>
    <w:link w:val="Subtitulo3Car"/>
    <w:rsid w:val="008775DD"/>
    <w:pPr>
      <w:ind w:right="108"/>
      <w:jc w:val="both"/>
      <w:outlineLvl w:val="2"/>
    </w:pPr>
    <w:rPr>
      <w:rFonts w:asciiTheme="majorHAnsi" w:hAnsiTheme="majorHAnsi" w:cstheme="majorHAnsi"/>
      <w:b/>
      <w:bCs/>
      <w:color w:val="1F3864" w:themeColor="accent1" w:themeShade="80"/>
      <w:sz w:val="20"/>
      <w:szCs w:val="20"/>
    </w:rPr>
  </w:style>
  <w:style w:type="paragraph" w:customStyle="1" w:styleId="Subtitulo4">
    <w:name w:val="Subtitulo 4"/>
    <w:basedOn w:val="Prrafodelista"/>
    <w:link w:val="Subtitulo4Car"/>
    <w:rsid w:val="008775DD"/>
    <w:pPr>
      <w:numPr>
        <w:numId w:val="6"/>
      </w:numPr>
      <w:spacing w:after="0" w:line="276" w:lineRule="auto"/>
      <w:ind w:left="0" w:right="108"/>
      <w:outlineLvl w:val="3"/>
    </w:pPr>
    <w:rPr>
      <w:rFonts w:eastAsiaTheme="minorHAnsi" w:cstheme="majorHAnsi"/>
      <w:b/>
      <w:bCs/>
      <w:color w:val="auto"/>
      <w:szCs w:val="20"/>
    </w:rPr>
  </w:style>
  <w:style w:type="character" w:customStyle="1" w:styleId="DefaultCar">
    <w:name w:val="Default Car"/>
    <w:basedOn w:val="Fuentedeprrafopredeter"/>
    <w:link w:val="Default"/>
    <w:rsid w:val="008775DD"/>
    <w:rPr>
      <w:rFonts w:ascii="Calibri" w:hAnsi="Calibri" w:cs="Calibri"/>
      <w:color w:val="000000"/>
      <w:sz w:val="24"/>
      <w:szCs w:val="24"/>
    </w:rPr>
  </w:style>
  <w:style w:type="character" w:customStyle="1" w:styleId="Subtitulo3Car">
    <w:name w:val="Subtitulo 3 Car"/>
    <w:basedOn w:val="DefaultCar"/>
    <w:link w:val="Subtitulo3"/>
    <w:rsid w:val="008775DD"/>
    <w:rPr>
      <w:rFonts w:asciiTheme="majorHAnsi" w:hAnsiTheme="majorHAnsi" w:cstheme="majorHAnsi"/>
      <w:b/>
      <w:bCs/>
      <w:color w:val="1F3864" w:themeColor="accent1" w:themeShade="80"/>
      <w:sz w:val="20"/>
      <w:szCs w:val="20"/>
    </w:rPr>
  </w:style>
  <w:style w:type="character" w:customStyle="1" w:styleId="Subtitulo4Car">
    <w:name w:val="Subtitulo 4 Car"/>
    <w:basedOn w:val="Fuentedeprrafopredeter"/>
    <w:link w:val="Subtitulo4"/>
    <w:rsid w:val="008775DD"/>
    <w:rPr>
      <w:rFonts w:asciiTheme="majorHAnsi" w:eastAsiaTheme="minorHAnsi" w:hAnsiTheme="majorHAnsi" w:cstheme="majorHAnsi"/>
      <w:b/>
      <w:bCs/>
      <w:sz w:val="20"/>
      <w:szCs w:val="20"/>
    </w:rPr>
  </w:style>
  <w:style w:type="paragraph" w:customStyle="1" w:styleId="Subtitulo5">
    <w:name w:val="Subtitulo 5"/>
    <w:link w:val="Subtitulo5Car"/>
    <w:rsid w:val="008775DD"/>
    <w:pPr>
      <w:numPr>
        <w:ilvl w:val="2"/>
        <w:numId w:val="7"/>
      </w:numPr>
      <w:spacing w:after="0" w:line="240" w:lineRule="auto"/>
      <w:jc w:val="both"/>
      <w:outlineLvl w:val="4"/>
    </w:pPr>
    <w:rPr>
      <w:rFonts w:asciiTheme="majorHAnsi" w:eastAsia="Times New Roman" w:hAnsiTheme="majorHAnsi" w:cs="Calibri"/>
      <w:b/>
      <w:bCs/>
      <w:color w:val="000000"/>
      <w:sz w:val="20"/>
      <w:szCs w:val="20"/>
      <w:lang w:eastAsia="es-ES"/>
    </w:rPr>
  </w:style>
  <w:style w:type="character" w:customStyle="1" w:styleId="Subtitulo5Car">
    <w:name w:val="Subtitulo 5 Car"/>
    <w:basedOn w:val="Fuentedeprrafopredeter"/>
    <w:link w:val="Subtitulo5"/>
    <w:rsid w:val="008775DD"/>
    <w:rPr>
      <w:rFonts w:asciiTheme="majorHAnsi" w:eastAsia="Times New Roman" w:hAnsiTheme="majorHAnsi" w:cs="Calibri"/>
      <w:b/>
      <w:bCs/>
      <w:color w:val="000000"/>
      <w:sz w:val="20"/>
      <w:szCs w:val="20"/>
      <w:lang w:eastAsia="es-ES"/>
    </w:rPr>
  </w:style>
  <w:style w:type="paragraph" w:customStyle="1" w:styleId="FUENTE">
    <w:name w:val="FUENTE"/>
    <w:basedOn w:val="Descripcin"/>
    <w:link w:val="FUENTECar"/>
    <w:rsid w:val="008775DD"/>
    <w:pPr>
      <w:spacing w:after="0"/>
      <w:jc w:val="right"/>
    </w:pPr>
    <w:rPr>
      <w:rFonts w:asciiTheme="majorHAnsi" w:eastAsiaTheme="minorHAnsi" w:hAnsiTheme="majorHAnsi"/>
      <w:b w:val="0"/>
      <w:bCs w:val="0"/>
      <w:i/>
      <w:iCs/>
      <w:color w:val="1E3B59"/>
    </w:rPr>
  </w:style>
  <w:style w:type="character" w:customStyle="1" w:styleId="FUENTECar">
    <w:name w:val="FUENTE Car"/>
    <w:basedOn w:val="Fuentedeprrafopredeter"/>
    <w:link w:val="FUENTE"/>
    <w:rsid w:val="008775DD"/>
    <w:rPr>
      <w:rFonts w:asciiTheme="majorHAnsi" w:eastAsiaTheme="minorHAnsi" w:hAnsiTheme="majorHAnsi"/>
      <w:i/>
      <w:iCs/>
      <w:color w:val="1E3B59"/>
      <w:sz w:val="18"/>
      <w:szCs w:val="18"/>
    </w:rPr>
  </w:style>
  <w:style w:type="paragraph" w:styleId="Textonotaalfinal">
    <w:name w:val="endnote text"/>
    <w:basedOn w:val="Normal"/>
    <w:link w:val="TextonotaalfinalCar"/>
    <w:uiPriority w:val="99"/>
    <w:semiHidden/>
    <w:unhideWhenUsed/>
    <w:rsid w:val="008775DD"/>
    <w:pPr>
      <w:spacing w:before="60" w:after="0" w:line="240" w:lineRule="auto"/>
    </w:pPr>
    <w:rPr>
      <w:rFonts w:eastAsia="Calibri" w:cs="Times New Roman"/>
      <w:color w:val="auto"/>
      <w:szCs w:val="20"/>
    </w:rPr>
  </w:style>
  <w:style w:type="character" w:customStyle="1" w:styleId="TextonotaalfinalCar">
    <w:name w:val="Texto nota al final Car"/>
    <w:basedOn w:val="Fuentedeprrafopredeter"/>
    <w:link w:val="Textonotaalfinal"/>
    <w:uiPriority w:val="99"/>
    <w:semiHidden/>
    <w:rsid w:val="008775DD"/>
    <w:rPr>
      <w:rFonts w:asciiTheme="majorHAnsi" w:eastAsia="Calibri" w:hAnsiTheme="majorHAnsi" w:cs="Times New Roman"/>
      <w:sz w:val="20"/>
      <w:szCs w:val="20"/>
    </w:rPr>
  </w:style>
  <w:style w:type="paragraph" w:styleId="TDC5">
    <w:name w:val="toc 5"/>
    <w:basedOn w:val="Normal"/>
    <w:next w:val="Normal"/>
    <w:autoRedefine/>
    <w:uiPriority w:val="39"/>
    <w:unhideWhenUsed/>
    <w:rsid w:val="008775DD"/>
    <w:pPr>
      <w:tabs>
        <w:tab w:val="left" w:pos="1320"/>
        <w:tab w:val="right" w:leader="dot" w:pos="8494"/>
      </w:tabs>
      <w:spacing w:before="60" w:after="0" w:line="360" w:lineRule="auto"/>
      <w:ind w:left="1843" w:hanging="264"/>
    </w:pPr>
    <w:rPr>
      <w:rFonts w:eastAsia="Calibri" w:cs="Times New Roman"/>
      <w:color w:val="auto"/>
      <w:szCs w:val="20"/>
    </w:rPr>
  </w:style>
  <w:style w:type="paragraph" w:styleId="TDC6">
    <w:name w:val="toc 6"/>
    <w:basedOn w:val="Normal"/>
    <w:next w:val="Normal"/>
    <w:autoRedefine/>
    <w:uiPriority w:val="39"/>
    <w:unhideWhenUsed/>
    <w:rsid w:val="008775DD"/>
    <w:pPr>
      <w:spacing w:before="60" w:after="0" w:line="360" w:lineRule="auto"/>
      <w:ind w:left="1100"/>
    </w:pPr>
    <w:rPr>
      <w:rFonts w:eastAsia="Calibri" w:cs="Times New Roman"/>
      <w:color w:val="auto"/>
      <w:szCs w:val="20"/>
    </w:rPr>
  </w:style>
  <w:style w:type="paragraph" w:styleId="TDC7">
    <w:name w:val="toc 7"/>
    <w:basedOn w:val="Normal"/>
    <w:next w:val="Normal"/>
    <w:autoRedefine/>
    <w:uiPriority w:val="39"/>
    <w:unhideWhenUsed/>
    <w:rsid w:val="008775DD"/>
    <w:pPr>
      <w:spacing w:before="60" w:after="0" w:line="360" w:lineRule="auto"/>
      <w:ind w:left="1320"/>
    </w:pPr>
    <w:rPr>
      <w:rFonts w:eastAsia="Calibri" w:cs="Times New Roman"/>
      <w:color w:val="auto"/>
      <w:szCs w:val="20"/>
    </w:rPr>
  </w:style>
  <w:style w:type="paragraph" w:styleId="TDC8">
    <w:name w:val="toc 8"/>
    <w:basedOn w:val="Normal"/>
    <w:next w:val="Normal"/>
    <w:autoRedefine/>
    <w:uiPriority w:val="39"/>
    <w:unhideWhenUsed/>
    <w:rsid w:val="008775DD"/>
    <w:pPr>
      <w:spacing w:before="60" w:after="0" w:line="360" w:lineRule="auto"/>
      <w:ind w:left="1540"/>
    </w:pPr>
    <w:rPr>
      <w:rFonts w:eastAsia="Calibri" w:cs="Times New Roman"/>
      <w:color w:val="auto"/>
      <w:szCs w:val="20"/>
    </w:rPr>
  </w:style>
  <w:style w:type="paragraph" w:styleId="TDC9">
    <w:name w:val="toc 9"/>
    <w:basedOn w:val="Normal"/>
    <w:next w:val="Normal"/>
    <w:autoRedefine/>
    <w:uiPriority w:val="39"/>
    <w:unhideWhenUsed/>
    <w:rsid w:val="008775DD"/>
    <w:pPr>
      <w:spacing w:before="60" w:after="0" w:line="360" w:lineRule="auto"/>
      <w:ind w:left="1760"/>
    </w:pPr>
    <w:rPr>
      <w:rFonts w:eastAsia="Calibri" w:cs="Times New Roman"/>
      <w:color w:val="auto"/>
      <w:szCs w:val="20"/>
    </w:rPr>
  </w:style>
  <w:style w:type="table" w:customStyle="1" w:styleId="Tablaconcuadrcula1">
    <w:name w:val="Tabla con cuadrícula1"/>
    <w:basedOn w:val="Tablanormal"/>
    <w:next w:val="Tablaconcuadrcula"/>
    <w:uiPriority w:val="39"/>
    <w:rsid w:val="008775DD"/>
    <w:pPr>
      <w:spacing w:after="0" w:line="240" w:lineRule="auto"/>
    </w:pPr>
    <w:rPr>
      <w:rFonts w:ascii="Calibri" w:eastAsia="Calibri" w:hAnsi="Calibri" w:cs="Times New Roman"/>
      <w:sz w:val="20"/>
      <w:szCs w:val="20"/>
      <w:lang w:val="es-EC" w:eastAsia="es-ES_tradn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decuadrcula5oscura-nfasis31">
    <w:name w:val="Tabla de cuadrícula 5 oscura - Énfasis 31"/>
    <w:basedOn w:val="Tablanormal"/>
    <w:uiPriority w:val="50"/>
    <w:rsid w:val="008775DD"/>
    <w:pPr>
      <w:spacing w:after="0" w:line="240" w:lineRule="auto"/>
    </w:pPr>
    <w:rPr>
      <w:rFonts w:ascii="Calibri" w:eastAsia="Calibri" w:hAnsi="Calibri" w:cs="Times New Roman"/>
      <w:sz w:val="20"/>
      <w:szCs w:val="20"/>
      <w:lang w:val="es-EC" w:eastAsia="es-ES_tradnl"/>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DEDE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A5A5A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A5A5A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A5A5A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A5A5A5"/>
      </w:tcPr>
    </w:tblStylePr>
    <w:tblStylePr w:type="band1Vert">
      <w:tblPr/>
      <w:tcPr>
        <w:shd w:val="clear" w:color="auto" w:fill="DBDBDB"/>
      </w:tcPr>
    </w:tblStylePr>
    <w:tblStylePr w:type="band1Horz">
      <w:tblPr/>
      <w:tcPr>
        <w:shd w:val="clear" w:color="auto" w:fill="DBDBDB"/>
      </w:tcPr>
    </w:tblStylePr>
  </w:style>
  <w:style w:type="character" w:customStyle="1" w:styleId="pautor">
    <w:name w:val="p_autor"/>
    <w:basedOn w:val="Fuentedeprrafopredeter"/>
    <w:rsid w:val="008775DD"/>
  </w:style>
  <w:style w:type="table" w:customStyle="1" w:styleId="Tabladecuadrcula4-nfasis31">
    <w:name w:val="Tabla de cuadrícula 4 - Énfasis 31"/>
    <w:basedOn w:val="Tablanormal"/>
    <w:uiPriority w:val="49"/>
    <w:rsid w:val="008775DD"/>
    <w:pPr>
      <w:spacing w:after="0" w:line="240" w:lineRule="auto"/>
    </w:pPr>
    <w:rPr>
      <w:rFonts w:ascii="Calibri" w:eastAsia="Calibri" w:hAnsi="Calibri" w:cs="Times New Roman"/>
      <w:sz w:val="20"/>
      <w:szCs w:val="20"/>
      <w:lang w:val="es-EC" w:eastAsia="es-ES_tradnl"/>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paragraph" w:customStyle="1" w:styleId="CVMajor-FirstLine">
    <w:name w:val="CV Major - First Line"/>
    <w:basedOn w:val="Normal"/>
    <w:next w:val="Normal"/>
    <w:rsid w:val="008775DD"/>
    <w:pPr>
      <w:suppressAutoHyphens/>
      <w:spacing w:before="74" w:after="0" w:line="240" w:lineRule="auto"/>
      <w:ind w:left="113" w:right="113"/>
      <w:jc w:val="left"/>
    </w:pPr>
    <w:rPr>
      <w:rFonts w:ascii="Arial Narrow" w:eastAsia="Times New Roman" w:hAnsi="Arial Narrow" w:cs="Times New Roman"/>
      <w:b/>
      <w:color w:val="auto"/>
      <w:sz w:val="24"/>
      <w:szCs w:val="20"/>
      <w:lang w:eastAsia="ar-SA"/>
    </w:rPr>
  </w:style>
  <w:style w:type="character" w:customStyle="1" w:styleId="longtext">
    <w:name w:val="long_text"/>
    <w:basedOn w:val="Fuentedeprrafopredeter"/>
    <w:rsid w:val="008775DD"/>
  </w:style>
  <w:style w:type="character" w:styleId="Ttulodellibro">
    <w:name w:val="Book Title"/>
    <w:uiPriority w:val="33"/>
    <w:rsid w:val="008775DD"/>
    <w:rPr>
      <w:rFonts w:ascii="Century Gothic" w:hAnsi="Century Gothic"/>
      <w:b/>
      <w:color w:val="FFFFFF"/>
      <w:sz w:val="18"/>
      <w:szCs w:val="18"/>
      <w:u w:val="single"/>
      <w:lang w:val="en-US"/>
    </w:rPr>
  </w:style>
  <w:style w:type="character" w:customStyle="1" w:styleId="explanatory-dictionary-highlight2">
    <w:name w:val="explanatory-dictionary-highlight2"/>
    <w:rsid w:val="008775DD"/>
    <w:rPr>
      <w:b w:val="0"/>
      <w:bCs w:val="0"/>
      <w:i w:val="0"/>
      <w:iCs w:val="0"/>
      <w:color w:val="000000"/>
    </w:rPr>
  </w:style>
  <w:style w:type="table" w:customStyle="1" w:styleId="Listaclara-nfasis31">
    <w:name w:val="Lista clara - Énfasis 31"/>
    <w:basedOn w:val="Tablanormal"/>
    <w:next w:val="Listaclara-nfasis3"/>
    <w:uiPriority w:val="61"/>
    <w:rsid w:val="008775DD"/>
    <w:pPr>
      <w:spacing w:after="0" w:line="240" w:lineRule="auto"/>
    </w:pPr>
    <w:rPr>
      <w:rFonts w:ascii="Calibri" w:eastAsia="Calibri" w:hAnsi="Calibri" w:cs="Times New Roman"/>
      <w:sz w:val="20"/>
      <w:szCs w:val="20"/>
      <w:lang w:val="es-EC" w:eastAsia="es-ES_tradnl"/>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Sombreadomedio1-nfasis31">
    <w:name w:val="Sombreado medio 1 - Énfasis 31"/>
    <w:basedOn w:val="Tablanormal"/>
    <w:next w:val="Sombreadomedio1-nfasis3"/>
    <w:uiPriority w:val="63"/>
    <w:rsid w:val="008775DD"/>
    <w:pPr>
      <w:spacing w:after="0" w:line="240" w:lineRule="auto"/>
    </w:pPr>
    <w:rPr>
      <w:rFonts w:ascii="Calibri" w:eastAsia="Calibri" w:hAnsi="Calibri" w:cs="Times New Roman"/>
      <w:sz w:val="20"/>
      <w:szCs w:val="20"/>
      <w:lang w:val="es-EC" w:eastAsia="es-ES_tradnl"/>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styleId="Sombreadomedio1-nfasis3">
    <w:name w:val="Medium Shading 1 Accent 3"/>
    <w:basedOn w:val="Tablanormal"/>
    <w:uiPriority w:val="63"/>
    <w:rsid w:val="008775DD"/>
    <w:pPr>
      <w:spacing w:after="0" w:line="240" w:lineRule="auto"/>
    </w:pPr>
    <w:rPr>
      <w:rFonts w:ascii="Calibri" w:eastAsia="Calibri" w:hAnsi="Calibri" w:cs="Times New Roman"/>
      <w:sz w:val="20"/>
      <w:szCs w:val="20"/>
      <w:lang w:val="en-GB" w:eastAsia="es-ES_tradnl"/>
    </w:rPr>
    <w:tblPr>
      <w:tblStyleRowBandSize w:val="1"/>
      <w:tblStyleColBandSize w:val="1"/>
      <w:tblBorders>
        <w:top w:val="single" w:sz="8" w:space="0" w:color="BBBBBB"/>
        <w:left w:val="single" w:sz="8" w:space="0" w:color="BBBBBB"/>
        <w:bottom w:val="single" w:sz="8" w:space="0" w:color="BBBBBB"/>
        <w:right w:val="single" w:sz="8" w:space="0" w:color="BBBBBB"/>
        <w:insideH w:val="single" w:sz="8" w:space="0" w:color="BBBBBB"/>
      </w:tblBorders>
    </w:tblPr>
    <w:tblStylePr w:type="firstRow">
      <w:pPr>
        <w:spacing w:before="0" w:after="0" w:line="240" w:lineRule="auto"/>
      </w:pPr>
      <w:rPr>
        <w:b/>
        <w:bCs/>
        <w:color w:val="FFFFFF"/>
      </w:rPr>
      <w:tblPr/>
      <w:tcPr>
        <w:tcBorders>
          <w:top w:val="single" w:sz="8" w:space="0" w:color="BBBBBB"/>
          <w:left w:val="single" w:sz="8" w:space="0" w:color="BBBBBB"/>
          <w:bottom w:val="single" w:sz="8" w:space="0" w:color="BBBBBB"/>
          <w:right w:val="single" w:sz="8" w:space="0" w:color="BBBBBB"/>
          <w:insideH w:val="nil"/>
          <w:insideV w:val="nil"/>
        </w:tcBorders>
        <w:shd w:val="clear" w:color="auto" w:fill="A5A5A5"/>
      </w:tcPr>
    </w:tblStylePr>
    <w:tblStylePr w:type="lastRow">
      <w:pPr>
        <w:spacing w:before="0" w:after="0" w:line="240" w:lineRule="auto"/>
      </w:pPr>
      <w:rPr>
        <w:b/>
        <w:bCs/>
      </w:rPr>
      <w:tblPr/>
      <w:tcPr>
        <w:tcBorders>
          <w:top w:val="double" w:sz="6" w:space="0" w:color="BBBBBB"/>
          <w:left w:val="single" w:sz="8" w:space="0" w:color="BBBBBB"/>
          <w:bottom w:val="single" w:sz="8" w:space="0" w:color="BBBBBB"/>
          <w:right w:val="single" w:sz="8" w:space="0" w:color="BBBBBB"/>
          <w:insideH w:val="nil"/>
          <w:insideV w:val="nil"/>
        </w:tcBorders>
      </w:tcPr>
    </w:tblStylePr>
    <w:tblStylePr w:type="firstCol">
      <w:rPr>
        <w:b/>
        <w:bCs/>
      </w:rPr>
    </w:tblStylePr>
    <w:tblStylePr w:type="lastCol">
      <w:rPr>
        <w:b/>
        <w:bCs/>
      </w:rPr>
    </w:tblStylePr>
    <w:tblStylePr w:type="band1Vert">
      <w:tblPr/>
      <w:tcPr>
        <w:shd w:val="clear" w:color="auto" w:fill="E8E8E8"/>
      </w:tcPr>
    </w:tblStylePr>
    <w:tblStylePr w:type="band1Horz">
      <w:tblPr/>
      <w:tcPr>
        <w:tcBorders>
          <w:insideH w:val="nil"/>
          <w:insideV w:val="nil"/>
        </w:tcBorders>
        <w:shd w:val="clear" w:color="auto" w:fill="E8E8E8"/>
      </w:tcPr>
    </w:tblStylePr>
    <w:tblStylePr w:type="band2Horz">
      <w:tblPr/>
      <w:tcPr>
        <w:tcBorders>
          <w:insideH w:val="nil"/>
          <w:insideV w:val="nil"/>
        </w:tcBorders>
      </w:tcPr>
    </w:tblStylePr>
  </w:style>
  <w:style w:type="table" w:customStyle="1" w:styleId="Sombreadomedio1-nfasis32">
    <w:name w:val="Sombreado medio 1 - Énfasis 32"/>
    <w:basedOn w:val="Tablanormal"/>
    <w:next w:val="Sombreadomedio1-nfasis3"/>
    <w:uiPriority w:val="63"/>
    <w:rsid w:val="008775DD"/>
    <w:pPr>
      <w:spacing w:after="0" w:line="240" w:lineRule="auto"/>
    </w:pPr>
    <w:rPr>
      <w:rFonts w:ascii="Calibri" w:eastAsia="Calibri" w:hAnsi="Calibri" w:cs="Times New Roman"/>
      <w:sz w:val="20"/>
      <w:szCs w:val="20"/>
      <w:lang w:val="es-EC" w:eastAsia="es-ES_tradnl"/>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customStyle="1" w:styleId="Tablaconcuadrcula6">
    <w:name w:val="Tabla con cuadrícula6"/>
    <w:basedOn w:val="Tablanormal"/>
    <w:uiPriority w:val="59"/>
    <w:rsid w:val="008775DD"/>
    <w:pPr>
      <w:spacing w:after="0" w:line="240" w:lineRule="auto"/>
    </w:pPr>
    <w:rPr>
      <w:rFonts w:ascii="Calibri" w:eastAsia="Calibri" w:hAnsi="Calibri" w:cs="Times New Roman"/>
      <w:sz w:val="20"/>
      <w:szCs w:val="20"/>
      <w:lang w:val="es-EC" w:eastAsia="es-ES_trad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anormal"/>
    <w:uiPriority w:val="59"/>
    <w:rsid w:val="008775DD"/>
    <w:pPr>
      <w:spacing w:after="0" w:line="240" w:lineRule="auto"/>
    </w:pPr>
    <w:rPr>
      <w:rFonts w:ascii="Times New Roman" w:hAnsi="Times New Roman" w:cs="Times New Roman"/>
      <w:sz w:val="20"/>
      <w:szCs w:val="20"/>
      <w:lang w:val="en-US" w:eastAsia="es-ES_trad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CVSectionBullet">
    <w:name w:val="_ECV_SectionBullet"/>
    <w:basedOn w:val="Normal"/>
    <w:rsid w:val="008775DD"/>
    <w:pPr>
      <w:widowControl w:val="0"/>
      <w:suppressLineNumbers/>
      <w:suppressAutoHyphens/>
      <w:autoSpaceDE w:val="0"/>
      <w:spacing w:before="120" w:after="0" w:line="100" w:lineRule="atLeast"/>
    </w:pPr>
    <w:rPr>
      <w:rFonts w:ascii="Arial" w:hAnsi="Arial" w:cs="Mangal"/>
      <w:color w:val="3F3A38"/>
      <w:spacing w:val="-6"/>
      <w:kern w:val="1"/>
      <w:sz w:val="18"/>
      <w:szCs w:val="24"/>
      <w:lang w:eastAsia="zh-CN" w:bidi="hi-IN"/>
    </w:rPr>
  </w:style>
  <w:style w:type="table" w:customStyle="1" w:styleId="Sombreadoclaro-nfasis321">
    <w:name w:val="Sombreado claro - Énfasis 321"/>
    <w:basedOn w:val="Tablanormal"/>
    <w:next w:val="Sombreadoclaro-nfasis3"/>
    <w:uiPriority w:val="60"/>
    <w:rsid w:val="008775DD"/>
    <w:pPr>
      <w:spacing w:after="0" w:line="240" w:lineRule="auto"/>
    </w:pPr>
    <w:rPr>
      <w:rFonts w:ascii="Calibri" w:eastAsia="Calibri" w:hAnsi="Calibri" w:cs="Times New Roman"/>
      <w:color w:val="76923C"/>
      <w:sz w:val="20"/>
      <w:szCs w:val="20"/>
      <w:lang w:val="es-EC" w:eastAsia="es-ES_tradnl"/>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Sombreadomedio1-nfasis311">
    <w:name w:val="Sombreado medio 1 - Énfasis 311"/>
    <w:basedOn w:val="Tablanormal"/>
    <w:next w:val="Sombreadomedio1-nfasis3"/>
    <w:uiPriority w:val="63"/>
    <w:rsid w:val="008775DD"/>
    <w:pPr>
      <w:spacing w:after="0" w:line="240" w:lineRule="auto"/>
    </w:pPr>
    <w:rPr>
      <w:rFonts w:ascii="Calibri" w:eastAsia="Calibri" w:hAnsi="Calibri" w:cs="Times New Roman"/>
      <w:sz w:val="20"/>
      <w:szCs w:val="20"/>
      <w:lang w:val="es-EC" w:eastAsia="es-ES_tradnl"/>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paragraph" w:customStyle="1" w:styleId="Chapter">
    <w:name w:val="Chapter"/>
    <w:basedOn w:val="Normal"/>
    <w:next w:val="Normal"/>
    <w:autoRedefine/>
    <w:rsid w:val="008775DD"/>
    <w:pPr>
      <w:numPr>
        <w:numId w:val="8"/>
      </w:numPr>
      <w:tabs>
        <w:tab w:val="left" w:pos="1440"/>
      </w:tabs>
      <w:spacing w:before="240" w:after="240" w:line="240" w:lineRule="auto"/>
      <w:jc w:val="center"/>
    </w:pPr>
    <w:rPr>
      <w:rFonts w:ascii="Times New Roman" w:hAnsi="Times New Roman" w:cs="Times New Roman"/>
      <w:b/>
      <w:smallCaps/>
      <w:noProof/>
      <w:color w:val="auto"/>
      <w:sz w:val="24"/>
      <w:szCs w:val="20"/>
      <w:lang w:eastAsia="es-ES"/>
    </w:rPr>
  </w:style>
  <w:style w:type="paragraph" w:customStyle="1" w:styleId="subpar">
    <w:name w:val="subpar"/>
    <w:basedOn w:val="Sangra3detindependiente"/>
    <w:rsid w:val="008775DD"/>
    <w:pPr>
      <w:numPr>
        <w:ilvl w:val="2"/>
        <w:numId w:val="8"/>
      </w:numPr>
      <w:spacing w:line="240" w:lineRule="auto"/>
    </w:pPr>
    <w:rPr>
      <w:rFonts w:ascii="Times New Roman" w:eastAsia="Times New Roman" w:hAnsi="Times New Roman"/>
      <w:lang w:val="it-IT" w:eastAsia="it-IT"/>
    </w:rPr>
  </w:style>
  <w:style w:type="paragraph" w:styleId="Sangra3detindependiente">
    <w:name w:val="Body Text Indent 3"/>
    <w:basedOn w:val="Normal"/>
    <w:link w:val="Sangra3detindependienteCar"/>
    <w:uiPriority w:val="99"/>
    <w:semiHidden/>
    <w:unhideWhenUsed/>
    <w:rsid w:val="008775DD"/>
    <w:pPr>
      <w:spacing w:before="120" w:after="120" w:line="276" w:lineRule="auto"/>
      <w:ind w:left="283"/>
    </w:pPr>
    <w:rPr>
      <w:rFonts w:eastAsia="Calibri" w:cs="Times New Roman"/>
      <w:color w:val="auto"/>
      <w:sz w:val="16"/>
      <w:szCs w:val="16"/>
    </w:rPr>
  </w:style>
  <w:style w:type="character" w:customStyle="1" w:styleId="Sangra3detindependienteCar">
    <w:name w:val="Sangría 3 de t. independiente Car"/>
    <w:basedOn w:val="Fuentedeprrafopredeter"/>
    <w:link w:val="Sangra3detindependiente"/>
    <w:uiPriority w:val="99"/>
    <w:semiHidden/>
    <w:rsid w:val="008775DD"/>
    <w:rPr>
      <w:rFonts w:asciiTheme="majorHAnsi" w:eastAsia="Calibri" w:hAnsiTheme="majorHAnsi" w:cs="Times New Roman"/>
      <w:sz w:val="16"/>
      <w:szCs w:val="16"/>
    </w:rPr>
  </w:style>
  <w:style w:type="paragraph" w:customStyle="1" w:styleId="SubSubPar">
    <w:name w:val="SubSubPar"/>
    <w:basedOn w:val="subpar"/>
    <w:rsid w:val="008775DD"/>
    <w:pPr>
      <w:numPr>
        <w:ilvl w:val="3"/>
      </w:numPr>
      <w:tabs>
        <w:tab w:val="clear" w:pos="1584"/>
        <w:tab w:val="num" w:pos="1152"/>
      </w:tabs>
      <w:ind w:left="1152" w:hanging="432"/>
      <w:outlineLvl w:val="2"/>
    </w:pPr>
    <w:rPr>
      <w:rFonts w:eastAsia="SimSun"/>
      <w:sz w:val="24"/>
      <w:szCs w:val="20"/>
      <w:lang w:val="es-ES" w:eastAsia="es-ES"/>
    </w:rPr>
  </w:style>
  <w:style w:type="paragraph" w:customStyle="1" w:styleId="Estilo3">
    <w:name w:val="Estilo3"/>
    <w:basedOn w:val="Normal"/>
    <w:link w:val="Estilo3Car"/>
    <w:autoRedefine/>
    <w:rsid w:val="008775DD"/>
    <w:pPr>
      <w:spacing w:before="240" w:after="120" w:line="276" w:lineRule="auto"/>
    </w:pPr>
    <w:rPr>
      <w:rFonts w:eastAsia="Times New Roman" w:cs="Times New Roman"/>
      <w:color w:val="auto"/>
      <w:szCs w:val="20"/>
      <w:lang w:eastAsia="es-ES"/>
    </w:rPr>
  </w:style>
  <w:style w:type="character" w:customStyle="1" w:styleId="Estilo3Car">
    <w:name w:val="Estilo3 Car"/>
    <w:link w:val="Estilo3"/>
    <w:rsid w:val="008775DD"/>
    <w:rPr>
      <w:rFonts w:asciiTheme="majorHAnsi" w:eastAsia="Times New Roman" w:hAnsiTheme="majorHAnsi" w:cs="Times New Roman"/>
      <w:sz w:val="20"/>
      <w:szCs w:val="20"/>
      <w:lang w:eastAsia="es-ES"/>
    </w:rPr>
  </w:style>
  <w:style w:type="paragraph" w:styleId="Ttulodendice">
    <w:name w:val="index heading"/>
    <w:basedOn w:val="Normal"/>
    <w:next w:val="ndice1"/>
    <w:uiPriority w:val="99"/>
    <w:unhideWhenUsed/>
    <w:rsid w:val="008775DD"/>
    <w:pPr>
      <w:spacing w:before="120" w:after="0" w:line="240" w:lineRule="auto"/>
    </w:pPr>
    <w:rPr>
      <w:rFonts w:ascii="Arial" w:eastAsia="Times New Roman" w:hAnsi="Arial" w:cs="Arial"/>
      <w:b/>
      <w:bCs/>
      <w:color w:val="auto"/>
      <w:sz w:val="24"/>
      <w:szCs w:val="24"/>
    </w:rPr>
  </w:style>
  <w:style w:type="paragraph" w:customStyle="1" w:styleId="Puesto1">
    <w:name w:val="Puesto1"/>
    <w:basedOn w:val="Normal"/>
    <w:rsid w:val="008775DD"/>
    <w:pPr>
      <w:spacing w:before="100" w:beforeAutospacing="1" w:after="100" w:afterAutospacing="1" w:line="240" w:lineRule="auto"/>
    </w:pPr>
    <w:rPr>
      <w:rFonts w:ascii="Times New Roman" w:eastAsia="Times New Roman" w:hAnsi="Times New Roman" w:cs="Times New Roman"/>
      <w:color w:val="auto"/>
      <w:sz w:val="24"/>
      <w:szCs w:val="24"/>
      <w:lang w:eastAsia="en-GB"/>
    </w:rPr>
  </w:style>
  <w:style w:type="paragraph" w:customStyle="1" w:styleId="tabelle14">
    <w:name w:val="tabelle14"/>
    <w:basedOn w:val="Normal"/>
    <w:uiPriority w:val="99"/>
    <w:rsid w:val="008775DD"/>
    <w:pPr>
      <w:spacing w:before="120" w:after="0" w:line="288" w:lineRule="exact"/>
    </w:pPr>
    <w:rPr>
      <w:rFonts w:ascii="Times New Roman" w:eastAsia="Times New Roman" w:hAnsi="Times New Roman" w:cs="Times New Roman"/>
      <w:i/>
      <w:color w:val="auto"/>
      <w:szCs w:val="20"/>
      <w:lang w:eastAsia="de-DE"/>
    </w:rPr>
  </w:style>
  <w:style w:type="paragraph" w:customStyle="1" w:styleId="OiaeaeiYiio2">
    <w:name w:val="O?ia eaeiYiio 2"/>
    <w:basedOn w:val="Normal"/>
    <w:uiPriority w:val="99"/>
    <w:rsid w:val="008775DD"/>
    <w:pPr>
      <w:widowControl w:val="0"/>
      <w:spacing w:before="120" w:after="0" w:line="240" w:lineRule="auto"/>
      <w:jc w:val="right"/>
    </w:pPr>
    <w:rPr>
      <w:rFonts w:ascii="Times New Roman" w:eastAsia="Times New Roman" w:hAnsi="Times New Roman" w:cs="Times New Roman"/>
      <w:i/>
      <w:color w:val="auto"/>
      <w:sz w:val="16"/>
      <w:szCs w:val="20"/>
      <w:lang w:eastAsia="de-DE"/>
    </w:rPr>
  </w:style>
  <w:style w:type="paragraph" w:customStyle="1" w:styleId="Listalarga">
    <w:name w:val="Lista larga"/>
    <w:basedOn w:val="Normal"/>
    <w:rsid w:val="008775DD"/>
    <w:pPr>
      <w:numPr>
        <w:numId w:val="9"/>
      </w:numPr>
      <w:spacing w:before="120" w:after="120" w:line="276" w:lineRule="auto"/>
      <w:ind w:left="714" w:hanging="357"/>
    </w:pPr>
    <w:rPr>
      <w:rFonts w:eastAsia="Times New Roman" w:cs="Times New Roman"/>
      <w:color w:val="auto"/>
      <w:szCs w:val="20"/>
      <w:lang w:eastAsia="es-ES"/>
    </w:rPr>
  </w:style>
  <w:style w:type="paragraph" w:customStyle="1" w:styleId="TABLAS0">
    <w:name w:val="TABLAS"/>
    <w:basedOn w:val="Descripcin"/>
    <w:rsid w:val="008775DD"/>
    <w:pPr>
      <w:spacing w:before="120" w:after="0"/>
      <w:jc w:val="right"/>
    </w:pPr>
    <w:rPr>
      <w:rFonts w:asciiTheme="majorHAnsi" w:eastAsia="Times New Roman" w:hAnsiTheme="majorHAnsi" w:cs="Times New Roman"/>
      <w:i/>
      <w:iCs/>
      <w:color w:val="auto"/>
      <w:sz w:val="16"/>
      <w:szCs w:val="16"/>
      <w:lang w:val="es-MX" w:eastAsia="es-MX"/>
    </w:rPr>
  </w:style>
  <w:style w:type="table" w:styleId="Listavistosa-nfasis1">
    <w:name w:val="Colorful List Accent 1"/>
    <w:basedOn w:val="Tablanormal"/>
    <w:uiPriority w:val="72"/>
    <w:qFormat/>
    <w:rsid w:val="008775DD"/>
    <w:pPr>
      <w:spacing w:after="0" w:line="240" w:lineRule="auto"/>
    </w:pPr>
    <w:rPr>
      <w:rFonts w:ascii="Times New Roman" w:eastAsia="Times New Roman" w:hAnsi="Times New Roman" w:cs="Times New Roman"/>
      <w:color w:val="000000"/>
      <w:sz w:val="20"/>
      <w:szCs w:val="20"/>
      <w:lang w:val="en-US" w:eastAsia="es-ES_tradnl" w:bidi="th-TH"/>
    </w:rPr>
    <w:tblPr>
      <w:tblStyleRowBandSize w:val="1"/>
      <w:tblStyleColBandSize w:val="1"/>
    </w:tblPr>
    <w:tcPr>
      <w:shd w:val="clear" w:color="auto" w:fill="ECF1F9"/>
    </w:tcPr>
    <w:tblStylePr w:type="firstRow">
      <w:rPr>
        <w:b/>
        <w:bCs/>
        <w:color w:val="FFFFFF"/>
      </w:rPr>
      <w:tblPr/>
      <w:tcPr>
        <w:tcBorders>
          <w:bottom w:val="single" w:sz="12" w:space="0" w:color="FFFFFF"/>
        </w:tcBorders>
        <w:shd w:val="clear" w:color="auto" w:fill="D25F12"/>
      </w:tcPr>
    </w:tblStylePr>
    <w:tblStylePr w:type="lastRow">
      <w:rPr>
        <w:b/>
        <w:bCs/>
        <w:color w:val="D25F1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0DBF0"/>
      </w:tcPr>
    </w:tblStylePr>
    <w:tblStylePr w:type="band1Horz">
      <w:tblPr/>
      <w:tcPr>
        <w:shd w:val="clear" w:color="auto" w:fill="D9E2F3"/>
      </w:tcPr>
    </w:tblStylePr>
  </w:style>
  <w:style w:type="paragraph" w:customStyle="1" w:styleId="Normaltexto">
    <w:name w:val="Normal texto"/>
    <w:basedOn w:val="Normal"/>
    <w:link w:val="NormaltextoCar"/>
    <w:uiPriority w:val="99"/>
    <w:rsid w:val="008775DD"/>
    <w:pPr>
      <w:spacing w:before="120" w:after="120" w:line="240" w:lineRule="auto"/>
    </w:pPr>
    <w:rPr>
      <w:rFonts w:ascii="Calibri" w:eastAsia="Calibri" w:hAnsi="Calibri" w:cs="Times New Roman"/>
      <w:color w:val="auto"/>
      <w:sz w:val="24"/>
      <w:szCs w:val="20"/>
      <w:lang w:val="es-ES_tradnl" w:eastAsia="es-ES"/>
    </w:rPr>
  </w:style>
  <w:style w:type="character" w:customStyle="1" w:styleId="NormaltextoCar">
    <w:name w:val="Normal texto Car"/>
    <w:link w:val="Normaltexto"/>
    <w:uiPriority w:val="99"/>
    <w:locked/>
    <w:rsid w:val="008775DD"/>
    <w:rPr>
      <w:rFonts w:ascii="Calibri" w:eastAsia="Calibri" w:hAnsi="Calibri" w:cs="Times New Roman"/>
      <w:sz w:val="24"/>
      <w:szCs w:val="20"/>
      <w:lang w:val="es-ES_tradnl" w:eastAsia="es-ES"/>
    </w:rPr>
  </w:style>
  <w:style w:type="character" w:customStyle="1" w:styleId="apple-converted-space">
    <w:name w:val="apple-converted-space"/>
    <w:basedOn w:val="Fuentedeprrafopredeter"/>
    <w:rsid w:val="008775DD"/>
  </w:style>
  <w:style w:type="paragraph" w:customStyle="1" w:styleId="Outline">
    <w:name w:val="Outline"/>
    <w:basedOn w:val="Normal"/>
    <w:uiPriority w:val="99"/>
    <w:rsid w:val="008775DD"/>
    <w:pPr>
      <w:spacing w:before="240" w:after="120" w:line="264" w:lineRule="auto"/>
    </w:pPr>
    <w:rPr>
      <w:rFonts w:ascii="Times New Roman" w:eastAsia="Times New Roman" w:hAnsi="Times New Roman" w:cs="Times New Roman"/>
      <w:color w:val="auto"/>
      <w:kern w:val="28"/>
      <w:sz w:val="24"/>
      <w:szCs w:val="20"/>
    </w:rPr>
  </w:style>
  <w:style w:type="character" w:customStyle="1" w:styleId="il">
    <w:name w:val="il"/>
    <w:basedOn w:val="Fuentedeprrafopredeter"/>
    <w:rsid w:val="008775DD"/>
  </w:style>
  <w:style w:type="table" w:customStyle="1" w:styleId="Sombreadoclaro-nfasis31">
    <w:name w:val="Sombreado claro - Énfasis 31"/>
    <w:basedOn w:val="Tablanormal"/>
    <w:next w:val="Sombreadoclaro-nfasis3"/>
    <w:uiPriority w:val="60"/>
    <w:rsid w:val="008775DD"/>
    <w:pPr>
      <w:spacing w:after="0" w:line="240" w:lineRule="auto"/>
    </w:pPr>
    <w:rPr>
      <w:rFonts w:ascii="Times New Roman" w:eastAsia="Calibri" w:hAnsi="Times New Roman" w:cs="Times New Roman"/>
      <w:color w:val="76923C"/>
      <w:sz w:val="20"/>
      <w:szCs w:val="20"/>
      <w:lang w:val="es-EC" w:eastAsia="es-ES"/>
    </w:rPr>
    <w:tblPr>
      <w:tblStyleRowBandSize w:val="1"/>
      <w:tblStyleColBandSize w:val="1"/>
      <w:tblBorders>
        <w:top w:val="single" w:sz="8" w:space="0" w:color="9BBB59"/>
        <w:bottom w:val="single" w:sz="8" w:space="0" w:color="9BBB59"/>
      </w:tblBorders>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paragraph" w:customStyle="1" w:styleId="Step2">
    <w:name w:val="Step2"/>
    <w:basedOn w:val="Normal"/>
    <w:rsid w:val="005D672A"/>
    <w:pPr>
      <w:widowControl w:val="0"/>
      <w:numPr>
        <w:numId w:val="10"/>
      </w:numPr>
      <w:shd w:val="clear" w:color="auto" w:fill="D9E2F3"/>
      <w:suppressAutoHyphens/>
      <w:spacing w:before="120" w:after="0" w:line="240" w:lineRule="auto"/>
    </w:pPr>
    <w:rPr>
      <w:rFonts w:eastAsia="Times New Roman" w:cs="Times"/>
      <w:b/>
      <w:sz w:val="24"/>
      <w:szCs w:val="20"/>
      <w:lang w:eastAsia="ar-SA"/>
    </w:rPr>
  </w:style>
  <w:style w:type="paragraph" w:customStyle="1" w:styleId="Bullet">
    <w:name w:val="Bullet"/>
    <w:aliases w:val="bl,Bullet L1,bl1"/>
    <w:basedOn w:val="Normal"/>
    <w:rsid w:val="008775DD"/>
    <w:pPr>
      <w:spacing w:before="120" w:after="0" w:line="240" w:lineRule="auto"/>
    </w:pPr>
    <w:rPr>
      <w:rFonts w:ascii="Arial" w:eastAsia="Times New Roman" w:hAnsi="Arial" w:cs="Arial"/>
      <w:noProof/>
      <w:color w:val="auto"/>
      <w:szCs w:val="20"/>
      <w:lang w:eastAsia="el-GR"/>
    </w:rPr>
  </w:style>
  <w:style w:type="paragraph" w:customStyle="1" w:styleId="Ref">
    <w:name w:val="Ref"/>
    <w:basedOn w:val="Normal"/>
    <w:rsid w:val="008775DD"/>
    <w:pPr>
      <w:spacing w:before="240" w:after="0" w:line="240" w:lineRule="auto"/>
    </w:pPr>
    <w:rPr>
      <w:rFonts w:ascii="Arial" w:eastAsia="Times New Roman" w:hAnsi="Times New Roman" w:cs="Arial"/>
      <w:snapToGrid w:val="0"/>
      <w:color w:val="auto"/>
      <w:szCs w:val="20"/>
    </w:rPr>
  </w:style>
  <w:style w:type="paragraph" w:customStyle="1" w:styleId="BodyBullets">
    <w:name w:val="Body Bullets"/>
    <w:basedOn w:val="Normal"/>
    <w:link w:val="BodyBulletsChar"/>
    <w:rsid w:val="008775DD"/>
    <w:pPr>
      <w:numPr>
        <w:numId w:val="11"/>
      </w:numPr>
      <w:spacing w:before="60" w:after="60" w:line="300" w:lineRule="exact"/>
    </w:pPr>
    <w:rPr>
      <w:rFonts w:eastAsia="Calibri" w:cs="Arial"/>
      <w:color w:val="auto"/>
      <w:szCs w:val="20"/>
    </w:rPr>
  </w:style>
  <w:style w:type="character" w:customStyle="1" w:styleId="BodyBulletsChar">
    <w:name w:val="Body Bullets Char"/>
    <w:link w:val="BodyBullets"/>
    <w:rsid w:val="008775DD"/>
    <w:rPr>
      <w:rFonts w:asciiTheme="majorHAnsi" w:eastAsia="Calibri" w:hAnsiTheme="majorHAnsi" w:cs="Arial"/>
      <w:sz w:val="20"/>
      <w:szCs w:val="20"/>
    </w:rPr>
  </w:style>
  <w:style w:type="character" w:customStyle="1" w:styleId="BodyTextCharCharCharCharCharCharCharCharCharCharCharCharCharCharCharCharCharCharCharCharCharCharCharCharCharCharCharCharCharCharCharCharCharCharCharCharCharCharCharCharCharCharCharCharCharCharChar">
    <w:name w:val="Body Text Char Char Char Char Char Char Char Char Char Char Char Char Char Char Char Char Char Char Char Char Char Char Char Char Char Char Char Char Char Char Char Char Char Char Char Char Char Char Char Char Char Char Char Char Char Char Char"/>
    <w:rsid w:val="008775DD"/>
    <w:rPr>
      <w:sz w:val="24"/>
      <w:szCs w:val="24"/>
      <w:lang w:val="en-US" w:eastAsia="en-US" w:bidi="ar-SA"/>
    </w:rPr>
  </w:style>
  <w:style w:type="paragraph" w:customStyle="1" w:styleId="DatesforProjects">
    <w:name w:val="Dates for Projects"/>
    <w:basedOn w:val="Normal"/>
    <w:link w:val="DatesforProjectsChar"/>
    <w:rsid w:val="008775DD"/>
    <w:pPr>
      <w:spacing w:before="120" w:after="0" w:line="300" w:lineRule="exact"/>
      <w:ind w:left="720"/>
    </w:pPr>
    <w:rPr>
      <w:rFonts w:eastAsia="Calibri" w:cs="Arial"/>
      <w:i/>
      <w:iCs/>
      <w:color w:val="auto"/>
      <w:szCs w:val="20"/>
    </w:rPr>
  </w:style>
  <w:style w:type="character" w:customStyle="1" w:styleId="DatesforProjectsChar">
    <w:name w:val="Dates for Projects Char"/>
    <w:link w:val="DatesforProjects"/>
    <w:rsid w:val="008775DD"/>
    <w:rPr>
      <w:rFonts w:asciiTheme="majorHAnsi" w:eastAsia="Calibri" w:hAnsiTheme="majorHAnsi" w:cs="Arial"/>
      <w:i/>
      <w:iCs/>
      <w:sz w:val="20"/>
      <w:szCs w:val="20"/>
    </w:rPr>
  </w:style>
  <w:style w:type="paragraph" w:customStyle="1" w:styleId="Bodybold-itaic">
    <w:name w:val="Body bold-itaic"/>
    <w:basedOn w:val="Normal"/>
    <w:link w:val="Bodybold-itaicChar"/>
    <w:rsid w:val="008775DD"/>
    <w:pPr>
      <w:tabs>
        <w:tab w:val="right" w:pos="9360"/>
      </w:tabs>
      <w:spacing w:before="120" w:after="120" w:line="276" w:lineRule="auto"/>
    </w:pPr>
    <w:rPr>
      <w:rFonts w:eastAsia="Calibri" w:cs="CenturyGothic,BoldItalic"/>
      <w:b/>
      <w:bCs/>
      <w:i/>
      <w:iCs/>
      <w:color w:val="auto"/>
      <w:szCs w:val="20"/>
    </w:rPr>
  </w:style>
  <w:style w:type="character" w:customStyle="1" w:styleId="Bodybold-itaicChar">
    <w:name w:val="Body bold-itaic Char"/>
    <w:link w:val="Bodybold-itaic"/>
    <w:rsid w:val="008775DD"/>
    <w:rPr>
      <w:rFonts w:asciiTheme="majorHAnsi" w:eastAsia="Calibri" w:hAnsiTheme="majorHAnsi" w:cs="CenturyGothic,BoldItalic"/>
      <w:b/>
      <w:bCs/>
      <w:i/>
      <w:iCs/>
      <w:sz w:val="20"/>
      <w:szCs w:val="20"/>
    </w:rPr>
  </w:style>
  <w:style w:type="paragraph" w:customStyle="1" w:styleId="reference">
    <w:name w:val="reference"/>
    <w:basedOn w:val="Normal"/>
    <w:link w:val="referenceChar"/>
    <w:rsid w:val="008775DD"/>
    <w:pPr>
      <w:spacing w:before="120" w:after="200" w:line="276" w:lineRule="auto"/>
    </w:pPr>
    <w:rPr>
      <w:rFonts w:eastAsia="Calibri" w:cs="Arial"/>
      <w:color w:val="auto"/>
      <w:sz w:val="16"/>
      <w:szCs w:val="16"/>
    </w:rPr>
  </w:style>
  <w:style w:type="character" w:customStyle="1" w:styleId="referenceChar">
    <w:name w:val="reference Char"/>
    <w:link w:val="reference"/>
    <w:rsid w:val="008775DD"/>
    <w:rPr>
      <w:rFonts w:asciiTheme="majorHAnsi" w:eastAsia="Calibri" w:hAnsiTheme="majorHAnsi" w:cs="Arial"/>
      <w:sz w:val="16"/>
      <w:szCs w:val="16"/>
    </w:rPr>
  </w:style>
  <w:style w:type="paragraph" w:customStyle="1" w:styleId="Bodysubbullets">
    <w:name w:val="Body sub bullets"/>
    <w:basedOn w:val="BodyBullets"/>
    <w:link w:val="BodysubbulletsChar"/>
    <w:rsid w:val="008775DD"/>
    <w:pPr>
      <w:numPr>
        <w:numId w:val="12"/>
      </w:numPr>
      <w:tabs>
        <w:tab w:val="left" w:pos="900"/>
      </w:tabs>
    </w:pPr>
  </w:style>
  <w:style w:type="character" w:customStyle="1" w:styleId="BodysubbulletsChar">
    <w:name w:val="Body sub bullets Char"/>
    <w:link w:val="Bodysubbullets"/>
    <w:rsid w:val="008775DD"/>
    <w:rPr>
      <w:rFonts w:asciiTheme="majorHAnsi" w:eastAsia="Calibri" w:hAnsiTheme="majorHAnsi" w:cs="Arial"/>
      <w:sz w:val="20"/>
      <w:szCs w:val="20"/>
    </w:rPr>
  </w:style>
  <w:style w:type="paragraph" w:customStyle="1" w:styleId="BulletsBold">
    <w:name w:val="Bullets Bold"/>
    <w:basedOn w:val="BodyBullets"/>
    <w:link w:val="BulletsBoldChar"/>
    <w:rsid w:val="008775DD"/>
    <w:pPr>
      <w:numPr>
        <w:numId w:val="0"/>
      </w:numPr>
      <w:spacing w:after="0"/>
      <w:ind w:left="720" w:hanging="360"/>
    </w:pPr>
    <w:rPr>
      <w:b/>
      <w:bCs/>
    </w:rPr>
  </w:style>
  <w:style w:type="character" w:customStyle="1" w:styleId="BulletsBoldChar">
    <w:name w:val="Bullets Bold Char"/>
    <w:link w:val="BulletsBold"/>
    <w:rsid w:val="008775DD"/>
    <w:rPr>
      <w:rFonts w:asciiTheme="majorHAnsi" w:eastAsia="Calibri" w:hAnsiTheme="majorHAnsi" w:cs="Arial"/>
      <w:b/>
      <w:bCs/>
      <w:sz w:val="20"/>
      <w:szCs w:val="20"/>
    </w:rPr>
  </w:style>
  <w:style w:type="paragraph" w:customStyle="1" w:styleId="Body-Responsibilities">
    <w:name w:val="Body-Responsibilities"/>
    <w:basedOn w:val="BulletsBold"/>
    <w:link w:val="Body-ResponsibilitiesChar"/>
    <w:rsid w:val="008775DD"/>
    <w:pPr>
      <w:ind w:firstLine="0"/>
    </w:pPr>
    <w:rPr>
      <w:b w:val="0"/>
      <w:bCs w:val="0"/>
    </w:rPr>
  </w:style>
  <w:style w:type="character" w:customStyle="1" w:styleId="Body-ResponsibilitiesChar">
    <w:name w:val="Body-Responsibilities Char"/>
    <w:link w:val="Body-Responsibilities"/>
    <w:rsid w:val="008775DD"/>
    <w:rPr>
      <w:rFonts w:asciiTheme="majorHAnsi" w:eastAsia="Calibri" w:hAnsiTheme="majorHAnsi" w:cs="Arial"/>
      <w:sz w:val="20"/>
      <w:szCs w:val="20"/>
    </w:rPr>
  </w:style>
  <w:style w:type="character" w:customStyle="1" w:styleId="paragraphCar">
    <w:name w:val="paragraph Car"/>
    <w:link w:val="paragraph"/>
    <w:rsid w:val="008775DD"/>
    <w:rPr>
      <w:rFonts w:ascii="Times New Roman" w:eastAsia="Times New Roman" w:hAnsi="Times New Roman" w:cs="Times New Roman"/>
      <w:sz w:val="24"/>
      <w:szCs w:val="24"/>
      <w:lang w:val="es-EC" w:eastAsia="es-EC"/>
    </w:rPr>
  </w:style>
  <w:style w:type="table" w:customStyle="1" w:styleId="Sombreadomedio1-nfasis33">
    <w:name w:val="Sombreado medio 1 - Énfasis 33"/>
    <w:basedOn w:val="Tablanormal"/>
    <w:next w:val="Sombreadomedio1-nfasis3"/>
    <w:uiPriority w:val="63"/>
    <w:rsid w:val="008775DD"/>
    <w:pPr>
      <w:spacing w:after="0" w:line="240" w:lineRule="auto"/>
    </w:pPr>
    <w:rPr>
      <w:rFonts w:ascii="Calibri" w:eastAsia="Calibri" w:hAnsi="Calibri" w:cs="Times New Roman"/>
      <w:sz w:val="20"/>
      <w:szCs w:val="20"/>
      <w:lang w:val="pt-PT" w:eastAsia="es-ES_tradnl"/>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rFonts w:cs="Times New Roman"/>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rFonts w:cs="Times New Roman"/>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E6EED5"/>
      </w:tcPr>
    </w:tblStylePr>
    <w:tblStylePr w:type="band1Horz">
      <w:rPr>
        <w:rFonts w:cs="Times New Roman"/>
      </w:rPr>
      <w:tblPr/>
      <w:tcPr>
        <w:tcBorders>
          <w:insideH w:val="nil"/>
          <w:insideV w:val="nil"/>
        </w:tcBorders>
        <w:shd w:val="clear" w:color="auto" w:fill="E6EED5"/>
      </w:tcPr>
    </w:tblStylePr>
    <w:tblStylePr w:type="band2Horz">
      <w:rPr>
        <w:rFonts w:cs="Times New Roman"/>
      </w:rPr>
      <w:tblPr/>
      <w:tcPr>
        <w:tcBorders>
          <w:insideH w:val="nil"/>
          <w:insideV w:val="nil"/>
        </w:tcBorders>
      </w:tcPr>
    </w:tblStylePr>
  </w:style>
  <w:style w:type="paragraph" w:customStyle="1" w:styleId="PIEDEIMAGEN">
    <w:name w:val="PIE DE IMAGEN"/>
    <w:basedOn w:val="parrafoFCO2"/>
    <w:link w:val="PIEDEIMAGENCar"/>
    <w:rsid w:val="008775DD"/>
    <w:pPr>
      <w:spacing w:before="120" w:line="276" w:lineRule="auto"/>
      <w:jc w:val="center"/>
    </w:pPr>
    <w:rPr>
      <w:rFonts w:asciiTheme="majorHAnsi" w:eastAsia="Calibri" w:hAnsiTheme="majorHAnsi" w:cs="Times New Roman"/>
      <w:sz w:val="18"/>
      <w:szCs w:val="20"/>
      <w:lang w:val="es-ES"/>
    </w:rPr>
  </w:style>
  <w:style w:type="character" w:customStyle="1" w:styleId="PIEDEIMAGENCar">
    <w:name w:val="PIE DE IMAGEN Car"/>
    <w:link w:val="PIEDEIMAGEN"/>
    <w:rsid w:val="008775DD"/>
    <w:rPr>
      <w:rFonts w:asciiTheme="majorHAnsi" w:eastAsia="Calibri" w:hAnsiTheme="majorHAnsi" w:cs="Times New Roman"/>
      <w:sz w:val="18"/>
      <w:szCs w:val="20"/>
    </w:rPr>
  </w:style>
  <w:style w:type="character" w:customStyle="1" w:styleId="apple-style-span">
    <w:name w:val="apple-style-span"/>
    <w:basedOn w:val="Fuentedeprrafopredeter"/>
    <w:rsid w:val="008775DD"/>
  </w:style>
  <w:style w:type="character" w:customStyle="1" w:styleId="apple-tab-span">
    <w:name w:val="apple-tab-span"/>
    <w:basedOn w:val="Fuentedeprrafopredeter"/>
    <w:rsid w:val="008775DD"/>
  </w:style>
  <w:style w:type="paragraph" w:styleId="Textosinformato">
    <w:name w:val="Plain Text"/>
    <w:basedOn w:val="Normal"/>
    <w:link w:val="TextosinformatoCar"/>
    <w:unhideWhenUsed/>
    <w:rsid w:val="008775DD"/>
    <w:pPr>
      <w:spacing w:before="120" w:after="0" w:line="240" w:lineRule="auto"/>
    </w:pPr>
    <w:rPr>
      <w:rFonts w:ascii="Courier New" w:eastAsia="Times New Roman" w:hAnsi="Courier New" w:cs="Times New Roman"/>
      <w:color w:val="auto"/>
      <w:szCs w:val="20"/>
      <w:lang w:eastAsia="es-ES"/>
    </w:rPr>
  </w:style>
  <w:style w:type="character" w:customStyle="1" w:styleId="TextosinformatoCar">
    <w:name w:val="Texto sin formato Car"/>
    <w:basedOn w:val="Fuentedeprrafopredeter"/>
    <w:link w:val="Textosinformato"/>
    <w:rsid w:val="008775DD"/>
    <w:rPr>
      <w:rFonts w:ascii="Courier New" w:eastAsia="Times New Roman" w:hAnsi="Courier New" w:cs="Times New Roman"/>
      <w:sz w:val="20"/>
      <w:szCs w:val="20"/>
      <w:lang w:eastAsia="es-ES"/>
    </w:rPr>
  </w:style>
  <w:style w:type="character" w:customStyle="1" w:styleId="atn">
    <w:name w:val="atn"/>
    <w:basedOn w:val="Fuentedeprrafopredeter"/>
    <w:rsid w:val="008775DD"/>
  </w:style>
  <w:style w:type="character" w:customStyle="1" w:styleId="shorttext">
    <w:name w:val="short_text"/>
    <w:basedOn w:val="Fuentedeprrafopredeter"/>
    <w:rsid w:val="008775DD"/>
  </w:style>
  <w:style w:type="character" w:customStyle="1" w:styleId="FootnoteCharacters">
    <w:name w:val="Footnote Characters"/>
    <w:rsid w:val="008775DD"/>
  </w:style>
  <w:style w:type="paragraph" w:customStyle="1" w:styleId="CVHeading1">
    <w:name w:val="CV Heading 1"/>
    <w:basedOn w:val="Normal"/>
    <w:next w:val="Normal"/>
    <w:rsid w:val="008775DD"/>
    <w:pPr>
      <w:suppressAutoHyphens/>
      <w:spacing w:before="74" w:after="0" w:line="240" w:lineRule="auto"/>
      <w:ind w:left="113" w:right="113"/>
      <w:jc w:val="right"/>
    </w:pPr>
    <w:rPr>
      <w:rFonts w:ascii="Arial Narrow" w:eastAsia="Times New Roman" w:hAnsi="Arial Narrow" w:cs="Times New Roman"/>
      <w:b/>
      <w:color w:val="auto"/>
      <w:sz w:val="24"/>
      <w:szCs w:val="20"/>
      <w:lang w:eastAsia="ar-SA"/>
    </w:rPr>
  </w:style>
  <w:style w:type="paragraph" w:customStyle="1" w:styleId="CVNormal-FirstLine">
    <w:name w:val="CV Normal - First Line"/>
    <w:basedOn w:val="CVNormal"/>
    <w:next w:val="CVNormal"/>
    <w:rsid w:val="008775DD"/>
    <w:pPr>
      <w:spacing w:before="74"/>
      <w:jc w:val="both"/>
    </w:pPr>
    <w:rPr>
      <w:lang w:val="es-ES"/>
    </w:rPr>
  </w:style>
  <w:style w:type="paragraph" w:customStyle="1" w:styleId="Text">
    <w:name w:val="Text"/>
    <w:basedOn w:val="Normal"/>
    <w:rsid w:val="008775DD"/>
    <w:pPr>
      <w:spacing w:before="120" w:after="80" w:line="240" w:lineRule="auto"/>
      <w:ind w:left="259"/>
    </w:pPr>
    <w:rPr>
      <w:rFonts w:ascii="Garamond" w:eastAsia="Times New Roman" w:hAnsi="Garamond" w:cs="Times New Roman"/>
      <w:color w:val="auto"/>
      <w:szCs w:val="20"/>
    </w:rPr>
  </w:style>
  <w:style w:type="paragraph" w:customStyle="1" w:styleId="Section3-Heading1">
    <w:name w:val="Section 3 - Heading 1"/>
    <w:basedOn w:val="Normal"/>
    <w:rsid w:val="008775DD"/>
    <w:pPr>
      <w:pBdr>
        <w:bottom w:val="single" w:sz="4" w:space="1" w:color="auto"/>
      </w:pBdr>
      <w:spacing w:before="120" w:after="240" w:line="240" w:lineRule="auto"/>
      <w:jc w:val="center"/>
    </w:pPr>
    <w:rPr>
      <w:rFonts w:ascii="Times New Roman" w:eastAsia="Times New Roman" w:hAnsi="Times New Roman" w:cs="Times New Roman"/>
      <w:smallCaps/>
      <w:color w:val="auto"/>
      <w:sz w:val="32"/>
      <w:szCs w:val="20"/>
    </w:rPr>
  </w:style>
  <w:style w:type="paragraph" w:styleId="Lista">
    <w:name w:val="List"/>
    <w:basedOn w:val="Normal"/>
    <w:rsid w:val="008775DD"/>
    <w:pPr>
      <w:spacing w:before="120" w:after="0" w:line="240" w:lineRule="auto"/>
      <w:ind w:left="283" w:hanging="283"/>
    </w:pPr>
    <w:rPr>
      <w:rFonts w:ascii="Times New Roman" w:eastAsia="Times New Roman" w:hAnsi="Times New Roman" w:cs="Times New Roman"/>
      <w:color w:val="auto"/>
      <w:szCs w:val="20"/>
      <w:lang w:val="es-ES_tradnl" w:eastAsia="es-ES"/>
    </w:rPr>
  </w:style>
  <w:style w:type="paragraph" w:customStyle="1" w:styleId="parrafo1">
    <w:name w:val="parrafo1"/>
    <w:basedOn w:val="Normal"/>
    <w:link w:val="parrafo1Car"/>
    <w:autoRedefine/>
    <w:rsid w:val="008775DD"/>
    <w:pPr>
      <w:numPr>
        <w:numId w:val="15"/>
      </w:numPr>
      <w:spacing w:before="120" w:after="120" w:line="240" w:lineRule="auto"/>
    </w:pPr>
    <w:rPr>
      <w:rFonts w:ascii="Verdana" w:eastAsia="Times New Roman" w:hAnsi="Verdana" w:cs="Times New Roman"/>
      <w:bCs/>
      <w:color w:val="auto"/>
      <w:sz w:val="22"/>
      <w:szCs w:val="20"/>
      <w:lang w:eastAsia="es-ES"/>
    </w:rPr>
  </w:style>
  <w:style w:type="character" w:customStyle="1" w:styleId="parrafo1Car">
    <w:name w:val="parrafo1 Car"/>
    <w:link w:val="parrafo1"/>
    <w:rsid w:val="008775DD"/>
    <w:rPr>
      <w:rFonts w:ascii="Verdana" w:eastAsia="Times New Roman" w:hAnsi="Verdana" w:cs="Times New Roman"/>
      <w:bCs/>
      <w:szCs w:val="20"/>
      <w:lang w:eastAsia="es-ES"/>
    </w:rPr>
  </w:style>
  <w:style w:type="paragraph" w:customStyle="1" w:styleId="guionado">
    <w:name w:val="guionado"/>
    <w:basedOn w:val="Normal"/>
    <w:autoRedefine/>
    <w:rsid w:val="008775DD"/>
    <w:pPr>
      <w:numPr>
        <w:numId w:val="13"/>
      </w:numPr>
      <w:spacing w:before="120" w:after="120" w:line="276" w:lineRule="auto"/>
    </w:pPr>
    <w:rPr>
      <w:rFonts w:ascii="Calibri" w:eastAsia="Times New Roman" w:hAnsi="Calibri" w:cs="Times New Roman"/>
      <w:color w:val="auto"/>
      <w:sz w:val="22"/>
      <w:szCs w:val="20"/>
      <w:lang w:eastAsia="es-ES"/>
    </w:rPr>
  </w:style>
  <w:style w:type="paragraph" w:customStyle="1" w:styleId="epigrafe">
    <w:name w:val="epigrafe"/>
    <w:basedOn w:val="Normal"/>
    <w:rsid w:val="008775DD"/>
    <w:pPr>
      <w:spacing w:before="120" w:after="0" w:line="276" w:lineRule="auto"/>
      <w:jc w:val="center"/>
    </w:pPr>
    <w:rPr>
      <w:rFonts w:ascii="Verdana" w:eastAsia="Calibri" w:hAnsi="Verdana" w:cs="Times-Roman"/>
      <w:color w:val="auto"/>
      <w:sz w:val="16"/>
      <w:szCs w:val="20"/>
      <w:lang w:eastAsia="es-ES"/>
    </w:rPr>
  </w:style>
  <w:style w:type="paragraph" w:customStyle="1" w:styleId="oman">
    <w:name w:val="oman"/>
    <w:basedOn w:val="Normal"/>
    <w:link w:val="omanCar"/>
    <w:rsid w:val="008775DD"/>
    <w:pPr>
      <w:spacing w:before="120" w:after="240" w:line="276" w:lineRule="auto"/>
    </w:pPr>
    <w:rPr>
      <w:rFonts w:ascii="Verdana" w:eastAsia="Times New Roman" w:hAnsi="Verdana" w:cs="Times New Roman"/>
      <w:color w:val="auto"/>
      <w:szCs w:val="20"/>
      <w:lang w:val="es-ES_tradnl" w:eastAsia="es-ES"/>
    </w:rPr>
  </w:style>
  <w:style w:type="character" w:customStyle="1" w:styleId="omanCar">
    <w:name w:val="oman Car"/>
    <w:link w:val="oman"/>
    <w:locked/>
    <w:rsid w:val="008775DD"/>
    <w:rPr>
      <w:rFonts w:ascii="Verdana" w:eastAsia="Times New Roman" w:hAnsi="Verdana" w:cs="Times New Roman"/>
      <w:sz w:val="20"/>
      <w:szCs w:val="20"/>
      <w:lang w:val="es-ES_tradnl" w:eastAsia="es-ES"/>
    </w:rPr>
  </w:style>
  <w:style w:type="numbering" w:customStyle="1" w:styleId="EstiloConvietas">
    <w:name w:val="Estilo Con viñetas"/>
    <w:rsid w:val="008775DD"/>
    <w:pPr>
      <w:numPr>
        <w:numId w:val="14"/>
      </w:numPr>
    </w:pPr>
  </w:style>
  <w:style w:type="table" w:customStyle="1" w:styleId="MediumGrid2-Accent32">
    <w:name w:val="Medium Grid 2 - Accent 32"/>
    <w:basedOn w:val="Tablanormal"/>
    <w:uiPriority w:val="68"/>
    <w:rsid w:val="008775DD"/>
    <w:pPr>
      <w:spacing w:after="0" w:line="240" w:lineRule="auto"/>
    </w:pPr>
    <w:rPr>
      <w:rFonts w:ascii="Cambria" w:eastAsia="Times New Roman" w:hAnsi="Cambria" w:cs="Times New Roman"/>
      <w:color w:val="000000"/>
      <w:sz w:val="20"/>
      <w:szCs w:val="20"/>
      <w:lang w:val="es-EC" w:eastAsia="es-ES_tradnl"/>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cPr>
      <w:shd w:val="clear" w:color="auto" w:fill="E6EED5"/>
    </w:tcPr>
    <w:tblStylePr w:type="firstRow">
      <w:rPr>
        <w:b/>
        <w:bCs/>
        <w:color w:val="000000"/>
      </w:rPr>
      <w:tblPr/>
      <w:tcPr>
        <w:shd w:val="clear" w:color="auto" w:fill="F5F8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AF1DD"/>
      </w:tcPr>
    </w:tblStylePr>
    <w:tblStylePr w:type="band1Vert">
      <w:tblPr/>
      <w:tcPr>
        <w:shd w:val="clear" w:color="auto" w:fill="CDDDAC"/>
      </w:tcPr>
    </w:tblStylePr>
    <w:tblStylePr w:type="band1Horz">
      <w:tblPr/>
      <w:tcPr>
        <w:tcBorders>
          <w:insideH w:val="single" w:sz="6" w:space="0" w:color="9BBB59"/>
          <w:insideV w:val="single" w:sz="6" w:space="0" w:color="9BBB59"/>
        </w:tcBorders>
        <w:shd w:val="clear" w:color="auto" w:fill="CDDDAC"/>
      </w:tcPr>
    </w:tblStylePr>
    <w:tblStylePr w:type="nwCell">
      <w:tblPr/>
      <w:tcPr>
        <w:shd w:val="clear" w:color="auto" w:fill="FFFFFF"/>
      </w:tcPr>
    </w:tblStylePr>
  </w:style>
  <w:style w:type="table" w:styleId="Listamedia2-nfasis3">
    <w:name w:val="Medium List 2 Accent 3"/>
    <w:basedOn w:val="Tablanormal"/>
    <w:uiPriority w:val="66"/>
    <w:rsid w:val="008775DD"/>
    <w:pPr>
      <w:spacing w:after="0" w:line="240" w:lineRule="auto"/>
    </w:pPr>
    <w:rPr>
      <w:rFonts w:ascii="Calibri Light" w:eastAsia="Times New Roman" w:hAnsi="Calibri Light" w:cs="Times New Roman"/>
      <w:color w:val="000000"/>
      <w:sz w:val="20"/>
      <w:szCs w:val="20"/>
      <w:lang w:val="es-EC" w:eastAsia="es-ES_tradnl"/>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rPr>
        <w:sz w:val="24"/>
        <w:szCs w:val="24"/>
      </w:rPr>
      <w:tblPr/>
      <w:tcPr>
        <w:tcBorders>
          <w:top w:val="nil"/>
          <w:left w:val="nil"/>
          <w:bottom w:val="single" w:sz="24" w:space="0" w:color="A5A5A5"/>
          <w:right w:val="nil"/>
          <w:insideH w:val="nil"/>
          <w:insideV w:val="nil"/>
        </w:tcBorders>
        <w:shd w:val="clear" w:color="auto" w:fill="FFFFFF"/>
      </w:tcPr>
    </w:tblStylePr>
    <w:tblStylePr w:type="lastRow">
      <w:tblPr/>
      <w:tcPr>
        <w:tcBorders>
          <w:top w:val="single" w:sz="8" w:space="0" w:color="A5A5A5"/>
          <w:left w:val="nil"/>
          <w:bottom w:val="nil"/>
          <w:right w:val="nil"/>
          <w:insideH w:val="nil"/>
          <w:insideV w:val="nil"/>
        </w:tcBorders>
        <w:shd w:val="clear" w:color="auto" w:fill="FFFFFF"/>
      </w:tcPr>
    </w:tblStylePr>
    <w:tblStylePr w:type="firstCol">
      <w:tblPr/>
      <w:tcPr>
        <w:tcBorders>
          <w:top w:val="nil"/>
          <w:left w:val="nil"/>
          <w:bottom w:val="nil"/>
          <w:right w:val="single" w:sz="8" w:space="0" w:color="A5A5A5"/>
          <w:insideH w:val="nil"/>
          <w:insideV w:val="nil"/>
        </w:tcBorders>
        <w:shd w:val="clear" w:color="auto" w:fill="FFFFFF"/>
      </w:tcPr>
    </w:tblStylePr>
    <w:tblStylePr w:type="lastCol">
      <w:tblPr/>
      <w:tcPr>
        <w:tcBorders>
          <w:top w:val="nil"/>
          <w:left w:val="single" w:sz="8" w:space="0" w:color="A5A5A5"/>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8E8E8"/>
      </w:tcPr>
    </w:tblStylePr>
    <w:tblStylePr w:type="band1Horz">
      <w:tblPr/>
      <w:tcPr>
        <w:tcBorders>
          <w:top w:val="nil"/>
          <w:bottom w:val="nil"/>
          <w:insideH w:val="nil"/>
          <w:insideV w:val="nil"/>
        </w:tcBorders>
        <w:shd w:val="clear" w:color="auto" w:fill="E8E8E8"/>
      </w:tcPr>
    </w:tblStylePr>
    <w:tblStylePr w:type="nwCell">
      <w:tblPr/>
      <w:tcPr>
        <w:shd w:val="clear" w:color="auto" w:fill="FFFFFF"/>
      </w:tcPr>
    </w:tblStylePr>
    <w:tblStylePr w:type="swCell">
      <w:tblPr/>
      <w:tcPr>
        <w:tcBorders>
          <w:top w:val="nil"/>
        </w:tcBorders>
      </w:tcPr>
    </w:tblStylePr>
  </w:style>
  <w:style w:type="table" w:styleId="Sombreadovistoso-nfasis3">
    <w:name w:val="Colorful Shading Accent 3"/>
    <w:basedOn w:val="Tablanormal"/>
    <w:uiPriority w:val="71"/>
    <w:unhideWhenUsed/>
    <w:rsid w:val="008775DD"/>
    <w:pPr>
      <w:spacing w:after="0" w:line="240" w:lineRule="auto"/>
    </w:pPr>
    <w:rPr>
      <w:rFonts w:ascii="Calibri" w:eastAsia="Calibri" w:hAnsi="Calibri" w:cs="Times New Roman"/>
      <w:color w:val="000000"/>
      <w:sz w:val="20"/>
      <w:szCs w:val="20"/>
      <w:lang w:val="es-EC" w:eastAsia="es-ES_tradnl"/>
    </w:rPr>
    <w:tblPr>
      <w:tblStyleRowBandSize w:val="1"/>
      <w:tblStyleColBandSize w:val="1"/>
      <w:tblBorders>
        <w:top w:val="single" w:sz="24" w:space="0" w:color="FFC000"/>
        <w:left w:val="single" w:sz="4" w:space="0" w:color="A5A5A5"/>
        <w:bottom w:val="single" w:sz="4" w:space="0" w:color="A5A5A5"/>
        <w:right w:val="single" w:sz="4" w:space="0" w:color="A5A5A5"/>
        <w:insideH w:val="single" w:sz="4" w:space="0" w:color="FFFFFF"/>
        <w:insideV w:val="single" w:sz="4" w:space="0" w:color="FFFFFF"/>
      </w:tblBorders>
    </w:tblPr>
    <w:tcPr>
      <w:shd w:val="clear" w:color="auto" w:fill="F6F6F6"/>
    </w:tcPr>
    <w:tblStylePr w:type="firstRow">
      <w:rPr>
        <w:b/>
        <w:bCs/>
      </w:rPr>
      <w:tblPr/>
      <w:tcPr>
        <w:tcBorders>
          <w:top w:val="nil"/>
          <w:left w:val="nil"/>
          <w:bottom w:val="single" w:sz="24" w:space="0" w:color="FFC000"/>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636363"/>
      </w:tcPr>
    </w:tblStylePr>
    <w:tblStylePr w:type="firstCol">
      <w:rPr>
        <w:color w:val="FFFFFF"/>
      </w:rPr>
      <w:tblPr/>
      <w:tcPr>
        <w:tcBorders>
          <w:top w:val="nil"/>
          <w:left w:val="nil"/>
          <w:bottom w:val="nil"/>
          <w:right w:val="nil"/>
          <w:insideH w:val="single" w:sz="4" w:space="0" w:color="636363"/>
          <w:insideV w:val="nil"/>
        </w:tcBorders>
        <w:shd w:val="clear" w:color="auto" w:fill="636363"/>
      </w:tcPr>
    </w:tblStylePr>
    <w:tblStylePr w:type="lastCol">
      <w:rPr>
        <w:color w:val="FFFFFF"/>
      </w:rPr>
      <w:tblPr/>
      <w:tcPr>
        <w:tcBorders>
          <w:top w:val="nil"/>
          <w:left w:val="nil"/>
          <w:bottom w:val="nil"/>
          <w:right w:val="nil"/>
          <w:insideH w:val="nil"/>
          <w:insideV w:val="nil"/>
        </w:tcBorders>
        <w:shd w:val="clear" w:color="auto" w:fill="636363"/>
      </w:tcPr>
    </w:tblStylePr>
    <w:tblStylePr w:type="band1Vert">
      <w:tblPr/>
      <w:tcPr>
        <w:shd w:val="clear" w:color="auto" w:fill="DBDBDB"/>
      </w:tcPr>
    </w:tblStylePr>
    <w:tblStylePr w:type="band1Horz">
      <w:tblPr/>
      <w:tcPr>
        <w:shd w:val="clear" w:color="auto" w:fill="D2D2D2"/>
      </w:tcPr>
    </w:tblStylePr>
  </w:style>
  <w:style w:type="paragraph" w:customStyle="1" w:styleId="funotentext">
    <w:name w:val="fußnotentext"/>
    <w:basedOn w:val="Normal"/>
    <w:rsid w:val="008775DD"/>
    <w:pPr>
      <w:widowControl w:val="0"/>
      <w:autoSpaceDE w:val="0"/>
      <w:autoSpaceDN w:val="0"/>
      <w:spacing w:after="0" w:line="240" w:lineRule="auto"/>
      <w:jc w:val="left"/>
    </w:pPr>
    <w:rPr>
      <w:rFonts w:ascii="Courier" w:eastAsia="Times New Roman" w:hAnsi="Courier" w:cs="Courier"/>
      <w:color w:val="auto"/>
      <w:sz w:val="24"/>
      <w:szCs w:val="24"/>
      <w:lang w:val="de-DE" w:eastAsia="es-MX"/>
    </w:rPr>
  </w:style>
  <w:style w:type="paragraph" w:customStyle="1" w:styleId="Ttulo51">
    <w:name w:val="Título 51"/>
    <w:basedOn w:val="Normal"/>
    <w:next w:val="Normal"/>
    <w:uiPriority w:val="9"/>
    <w:unhideWhenUsed/>
    <w:rsid w:val="008775DD"/>
    <w:pPr>
      <w:keepNext/>
      <w:keepLines/>
      <w:shd w:val="clear" w:color="auto" w:fill="FDE9D9"/>
      <w:spacing w:before="40" w:after="0" w:line="276" w:lineRule="auto"/>
      <w:outlineLvl w:val="4"/>
    </w:pPr>
    <w:rPr>
      <w:rFonts w:eastAsia="Times New Roman" w:cs="Times New Roman"/>
      <w:b/>
      <w:color w:val="auto"/>
      <w:szCs w:val="20"/>
    </w:rPr>
  </w:style>
  <w:style w:type="paragraph" w:customStyle="1" w:styleId="Ttulo71">
    <w:name w:val="Título 71"/>
    <w:basedOn w:val="Normal"/>
    <w:next w:val="Normal"/>
    <w:uiPriority w:val="9"/>
    <w:semiHidden/>
    <w:unhideWhenUsed/>
    <w:qFormat/>
    <w:rsid w:val="008775DD"/>
    <w:pPr>
      <w:keepNext/>
      <w:keepLines/>
      <w:spacing w:before="40" w:after="0" w:line="276" w:lineRule="auto"/>
      <w:outlineLvl w:val="6"/>
    </w:pPr>
    <w:rPr>
      <w:rFonts w:eastAsia="Times New Roman" w:cs="Times New Roman"/>
      <w:i/>
      <w:iCs/>
      <w:color w:val="243F60"/>
      <w:szCs w:val="20"/>
    </w:rPr>
  </w:style>
  <w:style w:type="character" w:customStyle="1" w:styleId="Hipervnculovisitado1">
    <w:name w:val="Hipervínculo visitado1"/>
    <w:uiPriority w:val="99"/>
    <w:semiHidden/>
    <w:unhideWhenUsed/>
    <w:rsid w:val="008775DD"/>
    <w:rPr>
      <w:color w:val="800080"/>
      <w:u w:val="single"/>
    </w:rPr>
  </w:style>
  <w:style w:type="table" w:customStyle="1" w:styleId="Listaclara-nfasis32">
    <w:name w:val="Lista clara - Énfasis 32"/>
    <w:basedOn w:val="Tablanormal"/>
    <w:next w:val="Listaclara-nfasis3"/>
    <w:uiPriority w:val="61"/>
    <w:rsid w:val="008775DD"/>
    <w:pPr>
      <w:spacing w:after="0" w:line="240" w:lineRule="auto"/>
    </w:pPr>
    <w:rPr>
      <w:rFonts w:ascii="Calibri" w:eastAsia="Calibri" w:hAnsi="Calibri" w:cs="Times New Roman"/>
      <w:sz w:val="20"/>
      <w:szCs w:val="20"/>
      <w:lang w:val="en-GB" w:eastAsia="es-ES_tradnl"/>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Sombreadomedio1-nfasis321">
    <w:name w:val="Sombreado medio 1 - Énfasis 321"/>
    <w:basedOn w:val="Tablanormal"/>
    <w:next w:val="Sombreadomedio1-nfasis3"/>
    <w:uiPriority w:val="63"/>
    <w:rsid w:val="008775DD"/>
    <w:pPr>
      <w:spacing w:after="0" w:line="240" w:lineRule="auto"/>
    </w:pPr>
    <w:rPr>
      <w:rFonts w:ascii="Calibri" w:eastAsia="Calibri" w:hAnsi="Calibri" w:cs="Times New Roman"/>
      <w:sz w:val="20"/>
      <w:szCs w:val="20"/>
      <w:lang w:val="es-EC" w:eastAsia="es-ES_tradnl"/>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paragraph" w:customStyle="1" w:styleId="Textoindependiente21">
    <w:name w:val="Texto independiente 21"/>
    <w:basedOn w:val="Normal"/>
    <w:next w:val="Textoindependiente2"/>
    <w:uiPriority w:val="99"/>
    <w:unhideWhenUsed/>
    <w:rsid w:val="008775DD"/>
    <w:pPr>
      <w:widowControl w:val="0"/>
      <w:overflowPunct w:val="0"/>
      <w:adjustRightInd w:val="0"/>
      <w:spacing w:before="120" w:after="120" w:line="480" w:lineRule="auto"/>
    </w:pPr>
    <w:rPr>
      <w:rFonts w:ascii="Times New Roman" w:eastAsia="Times New Roman" w:hAnsi="Times New Roman" w:cs="Times New Roman"/>
      <w:color w:val="auto"/>
      <w:kern w:val="28"/>
      <w:sz w:val="24"/>
      <w:szCs w:val="24"/>
    </w:rPr>
  </w:style>
  <w:style w:type="table" w:customStyle="1" w:styleId="Listavistosa-nfasis11">
    <w:name w:val="Lista vistosa - Énfasis 11"/>
    <w:basedOn w:val="Tablanormal"/>
    <w:next w:val="Listavistosa-nfasis1"/>
    <w:uiPriority w:val="34"/>
    <w:qFormat/>
    <w:rsid w:val="008775DD"/>
    <w:pPr>
      <w:spacing w:after="0" w:line="240" w:lineRule="auto"/>
    </w:pPr>
    <w:rPr>
      <w:rFonts w:ascii="Times New Roman" w:eastAsia="Times New Roman" w:hAnsi="Times New Roman" w:cs="Times New Roman"/>
      <w:color w:val="000000"/>
      <w:sz w:val="20"/>
      <w:szCs w:val="20"/>
      <w:lang w:val="en-US" w:eastAsia="es-ES_tradnl" w:bidi="th-TH"/>
    </w:rPr>
    <w:tblPr>
      <w:tblStyleRowBandSize w:val="1"/>
      <w:tblStyleColBandSize w:val="1"/>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Sombreadoclaro-nfasis311">
    <w:name w:val="Sombreado claro - Énfasis 311"/>
    <w:basedOn w:val="Tablanormal"/>
    <w:next w:val="Sombreadoclaro-nfasis3"/>
    <w:uiPriority w:val="60"/>
    <w:rsid w:val="008775DD"/>
    <w:pPr>
      <w:spacing w:after="0" w:line="240" w:lineRule="auto"/>
    </w:pPr>
    <w:rPr>
      <w:rFonts w:ascii="Times New Roman" w:eastAsia="Calibri" w:hAnsi="Times New Roman" w:cs="Times New Roman"/>
      <w:color w:val="76923C"/>
      <w:sz w:val="20"/>
      <w:szCs w:val="20"/>
      <w:lang w:val="es-EC" w:eastAsia="es-ES"/>
    </w:rPr>
    <w:tblPr>
      <w:tblStyleRowBandSize w:val="1"/>
      <w:tblStyleColBandSize w:val="1"/>
      <w:tblBorders>
        <w:top w:val="single" w:sz="8" w:space="0" w:color="9BBB59"/>
        <w:bottom w:val="single" w:sz="8" w:space="0" w:color="9BBB59"/>
      </w:tblBorders>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paragraph" w:customStyle="1" w:styleId="Citadestacada1">
    <w:name w:val="Cita destacada1"/>
    <w:basedOn w:val="Normal"/>
    <w:next w:val="Normal"/>
    <w:uiPriority w:val="30"/>
    <w:rsid w:val="008775DD"/>
    <w:pPr>
      <w:pBdr>
        <w:top w:val="single" w:sz="4" w:space="10" w:color="4F81BD"/>
        <w:bottom w:val="single" w:sz="4" w:space="10" w:color="4F81BD"/>
      </w:pBdr>
      <w:spacing w:before="360" w:after="360" w:line="276" w:lineRule="auto"/>
      <w:ind w:left="864" w:right="864"/>
      <w:jc w:val="center"/>
    </w:pPr>
    <w:rPr>
      <w:rFonts w:eastAsia="Calibri" w:cs="Times New Roman"/>
      <w:i/>
      <w:iCs/>
      <w:color w:val="4F81BD"/>
      <w:szCs w:val="20"/>
    </w:rPr>
  </w:style>
  <w:style w:type="table" w:customStyle="1" w:styleId="Listamedia2-nfasis31">
    <w:name w:val="Lista media 2 - Énfasis 31"/>
    <w:basedOn w:val="Tablanormal"/>
    <w:next w:val="Listamedia2-nfasis3"/>
    <w:uiPriority w:val="66"/>
    <w:rsid w:val="008775DD"/>
    <w:pPr>
      <w:spacing w:after="0" w:line="240" w:lineRule="auto"/>
    </w:pPr>
    <w:rPr>
      <w:rFonts w:ascii="Century Gothic" w:eastAsia="Times New Roman" w:hAnsi="Century Gothic" w:cs="Times New Roman"/>
      <w:color w:val="000000"/>
      <w:sz w:val="20"/>
      <w:szCs w:val="20"/>
      <w:lang w:val="es-EC" w:eastAsia="es-ES_tradnl"/>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rPr>
        <w:sz w:val="24"/>
        <w:szCs w:val="24"/>
      </w:rPr>
      <w:tblPr/>
      <w:tcPr>
        <w:tcBorders>
          <w:top w:val="nil"/>
          <w:left w:val="nil"/>
          <w:bottom w:val="single" w:sz="24" w:space="0" w:color="9BBB59"/>
          <w:right w:val="nil"/>
          <w:insideH w:val="nil"/>
          <w:insideV w:val="nil"/>
        </w:tcBorders>
        <w:shd w:val="clear" w:color="auto" w:fill="FFFFFF"/>
      </w:tcPr>
    </w:tblStylePr>
    <w:tblStylePr w:type="lastRow">
      <w:tblPr/>
      <w:tcPr>
        <w:tcBorders>
          <w:top w:val="single" w:sz="8" w:space="0" w:color="9BBB59"/>
          <w:left w:val="nil"/>
          <w:bottom w:val="nil"/>
          <w:right w:val="nil"/>
          <w:insideH w:val="nil"/>
          <w:insideV w:val="nil"/>
        </w:tcBorders>
        <w:shd w:val="clear" w:color="auto" w:fill="FFFFFF"/>
      </w:tcPr>
    </w:tblStylePr>
    <w:tblStylePr w:type="firstCol">
      <w:tblPr/>
      <w:tcPr>
        <w:tcBorders>
          <w:top w:val="nil"/>
          <w:left w:val="nil"/>
          <w:bottom w:val="nil"/>
          <w:right w:val="single" w:sz="8" w:space="0" w:color="9BBB59"/>
          <w:insideH w:val="nil"/>
          <w:insideV w:val="nil"/>
        </w:tcBorders>
        <w:shd w:val="clear" w:color="auto" w:fill="FFFFFF"/>
      </w:tcPr>
    </w:tblStylePr>
    <w:tblStylePr w:type="lastCol">
      <w:tblPr/>
      <w:tcPr>
        <w:tcBorders>
          <w:top w:val="nil"/>
          <w:left w:val="single" w:sz="8" w:space="0" w:color="9BBB59"/>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6EED5"/>
      </w:tcPr>
    </w:tblStylePr>
    <w:tblStylePr w:type="band1Horz">
      <w:tblPr/>
      <w:tcPr>
        <w:tcBorders>
          <w:top w:val="nil"/>
          <w:bottom w:val="nil"/>
          <w:insideH w:val="nil"/>
          <w:insideV w:val="nil"/>
        </w:tcBorders>
        <w:shd w:val="clear" w:color="auto" w:fill="E6EED5"/>
      </w:tcPr>
    </w:tblStylePr>
    <w:tblStylePr w:type="nwCell">
      <w:tblPr/>
      <w:tcPr>
        <w:shd w:val="clear" w:color="auto" w:fill="FFFFFF"/>
      </w:tcPr>
    </w:tblStylePr>
    <w:tblStylePr w:type="swCell">
      <w:tblPr/>
      <w:tcPr>
        <w:tcBorders>
          <w:top w:val="nil"/>
        </w:tcBorders>
      </w:tcPr>
    </w:tblStylePr>
  </w:style>
  <w:style w:type="table" w:customStyle="1" w:styleId="Sombreadovistoso-nfasis31">
    <w:name w:val="Sombreado vistoso - Énfasis 31"/>
    <w:basedOn w:val="Tablanormal"/>
    <w:next w:val="Sombreadovistoso-nfasis3"/>
    <w:uiPriority w:val="71"/>
    <w:unhideWhenUsed/>
    <w:rsid w:val="008775DD"/>
    <w:pPr>
      <w:spacing w:after="0" w:line="240" w:lineRule="auto"/>
    </w:pPr>
    <w:rPr>
      <w:rFonts w:ascii="Calibri" w:eastAsia="Calibri" w:hAnsi="Calibri" w:cs="Times New Roman"/>
      <w:color w:val="000000"/>
      <w:sz w:val="20"/>
      <w:szCs w:val="20"/>
      <w:lang w:val="es-EC" w:eastAsia="es-ES_tradnl"/>
    </w:rPr>
    <w:tblPr>
      <w:tblStyleRowBandSize w:val="1"/>
      <w:tblStyleColBandSize w:val="1"/>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Pr>
    <w:tcPr>
      <w:shd w:val="clear" w:color="auto" w:fill="F5F8EE"/>
    </w:tcPr>
    <w:tblStylePr w:type="firstRow">
      <w:rPr>
        <w:b/>
        <w:bCs/>
      </w:rPr>
      <w:tblPr/>
      <w:tcPr>
        <w:tcBorders>
          <w:top w:val="nil"/>
          <w:left w:val="nil"/>
          <w:bottom w:val="single" w:sz="24" w:space="0" w:color="8064A2"/>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E7530"/>
      </w:tcPr>
    </w:tblStylePr>
    <w:tblStylePr w:type="firstCol">
      <w:rPr>
        <w:color w:val="FFFFFF"/>
      </w:rPr>
      <w:tblPr/>
      <w:tcPr>
        <w:tcBorders>
          <w:top w:val="nil"/>
          <w:left w:val="nil"/>
          <w:bottom w:val="nil"/>
          <w:right w:val="nil"/>
          <w:insideH w:val="single" w:sz="4" w:space="0" w:color="5E7530"/>
          <w:insideV w:val="nil"/>
        </w:tcBorders>
        <w:shd w:val="clear" w:color="auto" w:fill="5E7530"/>
      </w:tcPr>
    </w:tblStylePr>
    <w:tblStylePr w:type="lastCol">
      <w:rPr>
        <w:color w:val="FFFFFF"/>
      </w:rPr>
      <w:tblPr/>
      <w:tcPr>
        <w:tcBorders>
          <w:top w:val="nil"/>
          <w:left w:val="nil"/>
          <w:bottom w:val="nil"/>
          <w:right w:val="nil"/>
          <w:insideH w:val="nil"/>
          <w:insideV w:val="nil"/>
        </w:tcBorders>
        <w:shd w:val="clear" w:color="auto" w:fill="5E7530"/>
      </w:tcPr>
    </w:tblStylePr>
    <w:tblStylePr w:type="band1Vert">
      <w:tblPr/>
      <w:tcPr>
        <w:shd w:val="clear" w:color="auto" w:fill="D6E3BC"/>
      </w:tcPr>
    </w:tblStylePr>
    <w:tblStylePr w:type="band1Horz">
      <w:tblPr/>
      <w:tcPr>
        <w:shd w:val="clear" w:color="auto" w:fill="CDDDAC"/>
      </w:tcPr>
    </w:tblStylePr>
  </w:style>
  <w:style w:type="character" w:customStyle="1" w:styleId="CitadestacadaCar1">
    <w:name w:val="Cita destacada Car1"/>
    <w:uiPriority w:val="30"/>
    <w:rsid w:val="008775DD"/>
    <w:rPr>
      <w:rFonts w:ascii="Times New Roman" w:eastAsia="Times New Roman" w:hAnsi="Times New Roman" w:cs="Times New Roman"/>
      <w:i/>
      <w:iCs/>
      <w:color w:val="4472C4"/>
      <w:sz w:val="20"/>
      <w:szCs w:val="20"/>
      <w:lang w:val="es-ES_tradnl" w:eastAsia="es-ES"/>
    </w:rPr>
  </w:style>
  <w:style w:type="character" w:customStyle="1" w:styleId="Ttulo5Car1">
    <w:name w:val="Título 5 Car1"/>
    <w:uiPriority w:val="9"/>
    <w:semiHidden/>
    <w:rsid w:val="008775DD"/>
    <w:rPr>
      <w:rFonts w:ascii="Calibri Light" w:eastAsia="Times New Roman" w:hAnsi="Calibri Light" w:cs="Times New Roman"/>
      <w:color w:val="2F5496"/>
      <w:sz w:val="20"/>
      <w:szCs w:val="20"/>
      <w:lang w:val="es-ES_tradnl" w:eastAsia="es-ES"/>
    </w:rPr>
  </w:style>
  <w:style w:type="character" w:customStyle="1" w:styleId="Ttulo7Car1">
    <w:name w:val="Título 7 Car1"/>
    <w:uiPriority w:val="9"/>
    <w:semiHidden/>
    <w:rsid w:val="008775DD"/>
    <w:rPr>
      <w:rFonts w:ascii="Calibri Light" w:eastAsia="Times New Roman" w:hAnsi="Calibri Light" w:cs="Times New Roman"/>
      <w:i/>
      <w:iCs/>
      <w:color w:val="1F3763"/>
      <w:sz w:val="20"/>
      <w:szCs w:val="20"/>
      <w:lang w:val="es-ES_tradnl" w:eastAsia="es-ES"/>
    </w:rPr>
  </w:style>
  <w:style w:type="character" w:customStyle="1" w:styleId="PuestoCar1">
    <w:name w:val="Puesto Car1"/>
    <w:uiPriority w:val="10"/>
    <w:rsid w:val="008775DD"/>
    <w:rPr>
      <w:rFonts w:ascii="Calibri Light" w:eastAsia="Times New Roman" w:hAnsi="Calibri Light" w:cs="Times New Roman"/>
      <w:spacing w:val="-10"/>
      <w:kern w:val="28"/>
      <w:sz w:val="56"/>
      <w:szCs w:val="56"/>
      <w:lang w:val="es-ES_tradnl" w:eastAsia="es-ES"/>
    </w:rPr>
  </w:style>
  <w:style w:type="character" w:customStyle="1" w:styleId="Textoindependiente2Car1">
    <w:name w:val="Texto independiente 2 Car1"/>
    <w:uiPriority w:val="99"/>
    <w:semiHidden/>
    <w:rsid w:val="008775DD"/>
    <w:rPr>
      <w:rFonts w:ascii="Times New Roman" w:eastAsia="Times New Roman" w:hAnsi="Times New Roman" w:cs="Times New Roman"/>
      <w:sz w:val="20"/>
      <w:szCs w:val="20"/>
      <w:lang w:val="es-ES_tradnl" w:eastAsia="es-ES"/>
    </w:rPr>
  </w:style>
  <w:style w:type="numbering" w:customStyle="1" w:styleId="Sinlista2">
    <w:name w:val="Sin lista2"/>
    <w:next w:val="Sinlista"/>
    <w:uiPriority w:val="99"/>
    <w:semiHidden/>
    <w:unhideWhenUsed/>
    <w:rsid w:val="008775DD"/>
  </w:style>
  <w:style w:type="table" w:customStyle="1" w:styleId="Listavistosa-nfasis12">
    <w:name w:val="Lista vistosa - Énfasis 12"/>
    <w:basedOn w:val="Tablanormal"/>
    <w:next w:val="Listavistosa-nfasis1"/>
    <w:uiPriority w:val="34"/>
    <w:qFormat/>
    <w:rsid w:val="008775DD"/>
    <w:pPr>
      <w:spacing w:after="0" w:line="240" w:lineRule="auto"/>
    </w:pPr>
    <w:rPr>
      <w:rFonts w:ascii="Times New Roman" w:eastAsia="Times New Roman" w:hAnsi="Times New Roman" w:cs="Times New Roman"/>
      <w:color w:val="000000"/>
      <w:sz w:val="20"/>
      <w:szCs w:val="20"/>
      <w:lang w:val="en-US" w:eastAsia="es-ES_tradnl" w:bidi="th-TH"/>
    </w:rPr>
    <w:tblPr>
      <w:tblStyleRowBandSize w:val="1"/>
      <w:tblStyleColBandSize w:val="1"/>
    </w:tblPr>
    <w:tcPr>
      <w:shd w:val="clear" w:color="auto" w:fill="EEF5FB"/>
    </w:tcPr>
    <w:tblStylePr w:type="firstRow">
      <w:rPr>
        <w:b/>
        <w:bCs/>
        <w:color w:val="FFFFFF"/>
      </w:rPr>
      <w:tblPr/>
      <w:tcPr>
        <w:tcBorders>
          <w:bottom w:val="single" w:sz="12" w:space="0" w:color="FFFFFF"/>
        </w:tcBorders>
        <w:shd w:val="clear" w:color="auto" w:fill="D25F12"/>
      </w:tcPr>
    </w:tblStylePr>
    <w:tblStylePr w:type="lastRow">
      <w:rPr>
        <w:b/>
        <w:bCs/>
        <w:color w:val="D25F1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6E6F4"/>
      </w:tcPr>
    </w:tblStylePr>
    <w:tblStylePr w:type="band1Horz">
      <w:tblPr/>
      <w:tcPr>
        <w:shd w:val="clear" w:color="auto" w:fill="DEEAF6"/>
      </w:tcPr>
    </w:tblStylePr>
  </w:style>
  <w:style w:type="table" w:customStyle="1" w:styleId="Sombreadoclaro-nfasis312">
    <w:name w:val="Sombreado claro - Énfasis 312"/>
    <w:basedOn w:val="Tablanormal"/>
    <w:next w:val="Sombreadoclaro-nfasis3"/>
    <w:uiPriority w:val="60"/>
    <w:rsid w:val="008775DD"/>
    <w:pPr>
      <w:spacing w:after="0" w:line="240" w:lineRule="auto"/>
    </w:pPr>
    <w:rPr>
      <w:rFonts w:ascii="Times New Roman" w:eastAsia="Calibri" w:hAnsi="Times New Roman" w:cs="Times New Roman"/>
      <w:color w:val="76923C"/>
      <w:sz w:val="20"/>
      <w:szCs w:val="20"/>
      <w:lang w:val="es-EC" w:eastAsia="es-ES"/>
    </w:rPr>
    <w:tblPr>
      <w:tblStyleRowBandSize w:val="1"/>
      <w:tblStyleColBandSize w:val="1"/>
      <w:tblBorders>
        <w:top w:val="single" w:sz="8" w:space="0" w:color="9BBB59"/>
        <w:bottom w:val="single" w:sz="8" w:space="0" w:color="9BBB59"/>
      </w:tblBorders>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numbering" w:customStyle="1" w:styleId="EstiloConvietas1">
    <w:name w:val="Estilo Con viñetas1"/>
    <w:rsid w:val="008775DD"/>
  </w:style>
  <w:style w:type="character" w:customStyle="1" w:styleId="Mencinsinresolver1">
    <w:name w:val="Mención sin resolver1"/>
    <w:uiPriority w:val="99"/>
    <w:semiHidden/>
    <w:unhideWhenUsed/>
    <w:rsid w:val="008775DD"/>
    <w:rPr>
      <w:color w:val="808080"/>
      <w:shd w:val="clear" w:color="auto" w:fill="E6E6E6"/>
    </w:rPr>
  </w:style>
  <w:style w:type="table" w:customStyle="1" w:styleId="Tabladecuadrcula5oscura-nfasis32">
    <w:name w:val="Tabla de cuadrícula 5 oscura - Énfasis 32"/>
    <w:basedOn w:val="Tablanormal"/>
    <w:uiPriority w:val="50"/>
    <w:rsid w:val="008775DD"/>
    <w:pPr>
      <w:spacing w:after="0" w:line="240" w:lineRule="auto"/>
    </w:pPr>
    <w:rPr>
      <w:rFonts w:ascii="Calibri" w:eastAsia="Calibri" w:hAnsi="Calibri" w:cs="Times New Roman"/>
      <w:sz w:val="20"/>
      <w:szCs w:val="20"/>
      <w:lang w:val="es-EC" w:eastAsia="es-ES_tradnl"/>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DEDE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A5A5A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A5A5A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A5A5A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A5A5A5"/>
      </w:tcPr>
    </w:tblStylePr>
    <w:tblStylePr w:type="band1Vert">
      <w:tblPr/>
      <w:tcPr>
        <w:shd w:val="clear" w:color="auto" w:fill="DBDBDB"/>
      </w:tcPr>
    </w:tblStylePr>
    <w:tblStylePr w:type="band1Horz">
      <w:tblPr/>
      <w:tcPr>
        <w:shd w:val="clear" w:color="auto" w:fill="DBDBDB"/>
      </w:tcPr>
    </w:tblStylePr>
  </w:style>
  <w:style w:type="paragraph" w:customStyle="1" w:styleId="Companyprofile-Textboxtext">
    <w:name w:val="Company profile - Text box text"/>
    <w:rsid w:val="008775DD"/>
    <w:pPr>
      <w:tabs>
        <w:tab w:val="right" w:pos="8647"/>
      </w:tabs>
      <w:spacing w:after="60" w:line="240" w:lineRule="auto"/>
    </w:pPr>
    <w:rPr>
      <w:rFonts w:ascii="Arial" w:eastAsia="Times New Roman" w:hAnsi="Arial" w:cs="Times New Roman"/>
      <w:color w:val="000000"/>
      <w:sz w:val="20"/>
      <w:szCs w:val="18"/>
      <w:lang w:val="en-GB" w:eastAsia="de-DE"/>
    </w:rPr>
  </w:style>
  <w:style w:type="paragraph" w:customStyle="1" w:styleId="Companyprofile-Text">
    <w:name w:val="Company profile - Text"/>
    <w:rsid w:val="008775DD"/>
    <w:pPr>
      <w:spacing w:after="80" w:line="260" w:lineRule="exact"/>
      <w:jc w:val="both"/>
    </w:pPr>
    <w:rPr>
      <w:rFonts w:ascii="Arial" w:eastAsia="Calibri" w:hAnsi="Arial" w:cs="Arial"/>
      <w:sz w:val="20"/>
      <w:lang w:val="en-GB" w:eastAsia="de-DE"/>
    </w:rPr>
  </w:style>
  <w:style w:type="paragraph" w:customStyle="1" w:styleId="Companyprofile-Heading1">
    <w:name w:val="Company profile - Heading 1"/>
    <w:next w:val="Normal"/>
    <w:rsid w:val="008775DD"/>
    <w:pPr>
      <w:pBdr>
        <w:bottom w:val="single" w:sz="4" w:space="1" w:color="E7E6E6"/>
      </w:pBdr>
      <w:spacing w:before="360" w:after="240" w:line="240" w:lineRule="auto"/>
    </w:pPr>
    <w:rPr>
      <w:rFonts w:ascii="Arial" w:eastAsia="Calibri" w:hAnsi="Arial" w:cs="Arial"/>
      <w:color w:val="E7E6E6"/>
      <w:spacing w:val="5"/>
      <w:kern w:val="28"/>
      <w:sz w:val="28"/>
      <w:szCs w:val="32"/>
      <w:lang w:val="en-GB" w:eastAsia="de-DE"/>
    </w:rPr>
  </w:style>
  <w:style w:type="paragraph" w:customStyle="1" w:styleId="Companyprofile-Formattingfigures">
    <w:name w:val="Company profile - Formatting figures"/>
    <w:rsid w:val="008775DD"/>
    <w:pPr>
      <w:spacing w:before="120" w:after="120" w:line="240" w:lineRule="auto"/>
    </w:pPr>
    <w:rPr>
      <w:rFonts w:ascii="Calibri" w:eastAsia="Times New Roman" w:hAnsi="Calibri" w:cs="Calibri"/>
      <w:noProof/>
      <w:sz w:val="20"/>
      <w:szCs w:val="20"/>
      <w:lang w:val="en-GB" w:eastAsia="en-GB"/>
    </w:rPr>
  </w:style>
  <w:style w:type="paragraph" w:customStyle="1" w:styleId="Companyprofile-Heading2">
    <w:name w:val="Company profile - Heading 2"/>
    <w:rsid w:val="008775DD"/>
    <w:pPr>
      <w:spacing w:before="240" w:after="120" w:line="240" w:lineRule="auto"/>
    </w:pPr>
    <w:rPr>
      <w:rFonts w:ascii="Arial" w:eastAsia="Calibri" w:hAnsi="Arial" w:cs="Arial"/>
      <w:b/>
      <w:color w:val="E7E6E6"/>
      <w:sz w:val="20"/>
      <w:lang w:val="pt-PT" w:eastAsia="pt-BR" w:bidi="pt-BR"/>
    </w:rPr>
  </w:style>
  <w:style w:type="paragraph" w:customStyle="1" w:styleId="Companyprofile-Textboxheadingsmall">
    <w:name w:val="Company profile - Text box heading small"/>
    <w:rsid w:val="008775DD"/>
    <w:pPr>
      <w:spacing w:before="240" w:after="60" w:line="240" w:lineRule="auto"/>
    </w:pPr>
    <w:rPr>
      <w:rFonts w:ascii="Arial" w:eastAsia="Calibri" w:hAnsi="Arial" w:cs="Arial"/>
      <w:b/>
      <w:color w:val="E7E6E6"/>
      <w:sz w:val="19"/>
      <w:szCs w:val="19"/>
      <w:lang w:val="en-GB" w:eastAsia="pt-BR" w:bidi="pt-BR"/>
    </w:rPr>
  </w:style>
  <w:style w:type="paragraph" w:customStyle="1" w:styleId="Companyprofile-Textboxtextsmall">
    <w:name w:val="Company profile - Text box text small"/>
    <w:rsid w:val="008775DD"/>
    <w:pPr>
      <w:spacing w:after="60" w:line="240" w:lineRule="auto"/>
    </w:pPr>
    <w:rPr>
      <w:rFonts w:ascii="Arial" w:eastAsia="Calibri" w:hAnsi="Arial" w:cs="Arial"/>
      <w:sz w:val="18"/>
      <w:szCs w:val="19"/>
      <w:lang w:val="en-GB" w:eastAsia="pt-BR" w:bidi="pt-BR"/>
    </w:rPr>
  </w:style>
  <w:style w:type="paragraph" w:customStyle="1" w:styleId="Companyprofile-Textboxbulletpointssmall">
    <w:name w:val="Company profile - Text box bulletpoints small"/>
    <w:rsid w:val="008775DD"/>
    <w:pPr>
      <w:numPr>
        <w:numId w:val="16"/>
      </w:numPr>
      <w:spacing w:after="40" w:line="240" w:lineRule="auto"/>
      <w:ind w:left="113" w:hanging="113"/>
    </w:pPr>
    <w:rPr>
      <w:rFonts w:ascii="Arial" w:eastAsia="Calibri" w:hAnsi="Arial" w:cs="Arial"/>
      <w:sz w:val="18"/>
      <w:szCs w:val="18"/>
      <w:lang w:val="en-GB" w:eastAsia="pt-BR" w:bidi="pt-BR"/>
    </w:rPr>
  </w:style>
  <w:style w:type="paragraph" w:customStyle="1" w:styleId="Tableheadingblack">
    <w:name w:val="Table heading black"/>
    <w:uiPriority w:val="1"/>
    <w:rsid w:val="008775DD"/>
    <w:pPr>
      <w:spacing w:after="0" w:line="240" w:lineRule="auto"/>
      <w:jc w:val="center"/>
    </w:pPr>
    <w:rPr>
      <w:rFonts w:ascii="Arial" w:eastAsia="Verdana" w:hAnsi="Arial" w:cs="Arial"/>
      <w:b/>
      <w:sz w:val="18"/>
      <w:szCs w:val="18"/>
      <w:lang w:val="en-US"/>
    </w:rPr>
  </w:style>
  <w:style w:type="paragraph" w:customStyle="1" w:styleId="Tabletextleftsmall">
    <w:name w:val="Table text left small"/>
    <w:rsid w:val="008775DD"/>
    <w:pPr>
      <w:spacing w:after="40" w:line="240" w:lineRule="auto"/>
    </w:pPr>
    <w:rPr>
      <w:rFonts w:ascii="Arial" w:eastAsia="Calibri" w:hAnsi="Arial" w:cs="Arial"/>
      <w:sz w:val="18"/>
      <w:szCs w:val="18"/>
      <w:lang w:val="en-GB"/>
    </w:rPr>
  </w:style>
  <w:style w:type="paragraph" w:customStyle="1" w:styleId="Tabletextcentredsmall">
    <w:name w:val="Table text centred small"/>
    <w:rsid w:val="008775DD"/>
    <w:pPr>
      <w:spacing w:after="0" w:line="240" w:lineRule="auto"/>
      <w:jc w:val="center"/>
    </w:pPr>
    <w:rPr>
      <w:rFonts w:ascii="Arial" w:eastAsia="Times New Roman" w:hAnsi="Arial" w:cs="Times New Roman"/>
      <w:sz w:val="18"/>
      <w:szCs w:val="20"/>
      <w:lang w:val="en-GB" w:eastAsia="de-DE"/>
    </w:rPr>
  </w:style>
  <w:style w:type="paragraph" w:customStyle="1" w:styleId="Tablebulletssmall">
    <w:name w:val="Table bullets small"/>
    <w:rsid w:val="008775DD"/>
    <w:pPr>
      <w:numPr>
        <w:numId w:val="17"/>
      </w:numPr>
      <w:spacing w:after="40" w:line="240" w:lineRule="auto"/>
      <w:ind w:left="170" w:hanging="170"/>
      <w:contextualSpacing/>
    </w:pPr>
    <w:rPr>
      <w:rFonts w:ascii="Arial" w:eastAsia="Times New Roman" w:hAnsi="Arial" w:cs="Times New Roman"/>
      <w:sz w:val="18"/>
      <w:szCs w:val="18"/>
      <w:lang w:val="en-GB" w:eastAsia="de-DE"/>
    </w:rPr>
  </w:style>
  <w:style w:type="paragraph" w:customStyle="1" w:styleId="AbstandzwischenReferenzen">
    <w:name w:val="Abstand zwischen Referenzen"/>
    <w:rsid w:val="008775DD"/>
    <w:pPr>
      <w:spacing w:after="0" w:line="240" w:lineRule="auto"/>
    </w:pPr>
    <w:rPr>
      <w:rFonts w:ascii="Arial" w:eastAsia="Times New Roman" w:hAnsi="Arial" w:cs="Times New Roman"/>
      <w:sz w:val="12"/>
      <w:lang w:val="en-GB" w:eastAsia="de-DE"/>
    </w:rPr>
  </w:style>
  <w:style w:type="paragraph" w:customStyle="1" w:styleId="Tablebulletsindentedsmall">
    <w:name w:val="Table bullets indented small"/>
    <w:rsid w:val="008775DD"/>
    <w:pPr>
      <w:numPr>
        <w:numId w:val="18"/>
      </w:numPr>
      <w:spacing w:after="40" w:line="240" w:lineRule="auto"/>
      <w:ind w:left="283" w:hanging="113"/>
      <w:contextualSpacing/>
    </w:pPr>
    <w:rPr>
      <w:rFonts w:ascii="Arial" w:eastAsia="Arial" w:hAnsi="Arial" w:cs="Arial"/>
      <w:sz w:val="18"/>
      <w:szCs w:val="18"/>
      <w:lang w:val="en-GB" w:eastAsia="de-DE"/>
    </w:rPr>
  </w:style>
  <w:style w:type="paragraph" w:customStyle="1" w:styleId="Tableheadingunderlineditalicssmall">
    <w:name w:val="Table heading underlined italics small"/>
    <w:rsid w:val="008775DD"/>
    <w:pPr>
      <w:spacing w:before="40" w:after="40" w:line="240" w:lineRule="auto"/>
    </w:pPr>
    <w:rPr>
      <w:rFonts w:ascii="Arial" w:eastAsia="Times New Roman" w:hAnsi="Arial" w:cs="Times New Roman"/>
      <w:i/>
      <w:iCs/>
      <w:sz w:val="18"/>
      <w:szCs w:val="20"/>
      <w:u w:val="single"/>
      <w:lang w:val="en-GB" w:eastAsia="de-DE"/>
    </w:rPr>
  </w:style>
  <w:style w:type="paragraph" w:customStyle="1" w:styleId="7Enumerdos">
    <w:name w:val="7_Enumerdos"/>
    <w:basedOn w:val="7Bulletpoints"/>
    <w:link w:val="7EnumerdosCar"/>
    <w:qFormat/>
    <w:rsid w:val="00070147"/>
    <w:pPr>
      <w:numPr>
        <w:numId w:val="23"/>
      </w:numPr>
    </w:pPr>
    <w:rPr>
      <w:lang w:val="es"/>
    </w:rPr>
  </w:style>
  <w:style w:type="paragraph" w:customStyle="1" w:styleId="Tableheadingwhitesmall">
    <w:name w:val="Table heading white small"/>
    <w:rsid w:val="008775DD"/>
    <w:pPr>
      <w:spacing w:after="0" w:line="240" w:lineRule="auto"/>
      <w:jc w:val="center"/>
    </w:pPr>
    <w:rPr>
      <w:rFonts w:ascii="Arial" w:eastAsia="Calibri" w:hAnsi="Arial" w:cs="Arial"/>
      <w:b/>
      <w:bCs/>
      <w:noProof/>
      <w:color w:val="FFFFFF"/>
      <w:sz w:val="18"/>
      <w:szCs w:val="18"/>
      <w:lang w:val="en-GB" w:eastAsia="de-DE"/>
    </w:rPr>
  </w:style>
  <w:style w:type="paragraph" w:customStyle="1" w:styleId="Tablenormaltextleft">
    <w:name w:val="Table: normal text left"/>
    <w:rsid w:val="008775DD"/>
    <w:pPr>
      <w:spacing w:before="40" w:after="40" w:line="240" w:lineRule="auto"/>
      <w:ind w:right="113"/>
    </w:pPr>
    <w:rPr>
      <w:rFonts w:ascii="Arial" w:eastAsia="Times New Roman" w:hAnsi="Arial" w:cs="Arial"/>
      <w:sz w:val="18"/>
      <w:szCs w:val="18"/>
      <w:lang w:val="en-GB" w:eastAsia="de-DE"/>
    </w:rPr>
  </w:style>
  <w:style w:type="table" w:styleId="Listaclara-nfasis5">
    <w:name w:val="Light List Accent 5"/>
    <w:basedOn w:val="Tablanormal"/>
    <w:uiPriority w:val="61"/>
    <w:rsid w:val="008775DD"/>
    <w:pPr>
      <w:spacing w:after="0" w:line="240" w:lineRule="auto"/>
    </w:pPr>
    <w:rPr>
      <w:rFonts w:ascii="Calibri" w:eastAsia="Calibri" w:hAnsi="Calibri" w:cs="Times New Roman"/>
      <w:sz w:val="20"/>
      <w:szCs w:val="20"/>
      <w:lang w:val="es-EC" w:eastAsia="es-ES_tradnl"/>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paragraph" w:customStyle="1" w:styleId="default0">
    <w:name w:val="default"/>
    <w:basedOn w:val="Normal"/>
    <w:rsid w:val="008775DD"/>
    <w:pPr>
      <w:autoSpaceDE w:val="0"/>
      <w:autoSpaceDN w:val="0"/>
      <w:spacing w:after="0" w:line="240" w:lineRule="auto"/>
      <w:jc w:val="left"/>
    </w:pPr>
    <w:rPr>
      <w:rFonts w:ascii="Calibri" w:eastAsia="Calibri" w:hAnsi="Calibri" w:cs="Calibri"/>
      <w:color w:val="000000"/>
      <w:sz w:val="24"/>
      <w:szCs w:val="24"/>
      <w:lang w:eastAsia="es-ES"/>
    </w:rPr>
  </w:style>
  <w:style w:type="paragraph" w:styleId="Textoindependiente3">
    <w:name w:val="Body Text 3"/>
    <w:basedOn w:val="Normal"/>
    <w:link w:val="Textoindependiente3Car"/>
    <w:uiPriority w:val="99"/>
    <w:semiHidden/>
    <w:unhideWhenUsed/>
    <w:rsid w:val="008775DD"/>
    <w:pPr>
      <w:spacing w:before="60" w:after="120" w:line="360" w:lineRule="auto"/>
    </w:pPr>
    <w:rPr>
      <w:rFonts w:eastAsia="Calibri" w:cs="Times New Roman"/>
      <w:color w:val="auto"/>
      <w:sz w:val="16"/>
      <w:szCs w:val="16"/>
    </w:rPr>
  </w:style>
  <w:style w:type="character" w:customStyle="1" w:styleId="Textoindependiente3Car">
    <w:name w:val="Texto independiente 3 Car"/>
    <w:basedOn w:val="Fuentedeprrafopredeter"/>
    <w:link w:val="Textoindependiente3"/>
    <w:uiPriority w:val="99"/>
    <w:semiHidden/>
    <w:rsid w:val="008775DD"/>
    <w:rPr>
      <w:rFonts w:asciiTheme="majorHAnsi" w:eastAsia="Calibri" w:hAnsiTheme="majorHAnsi" w:cs="Times New Roman"/>
      <w:sz w:val="16"/>
      <w:szCs w:val="16"/>
    </w:rPr>
  </w:style>
  <w:style w:type="character" w:customStyle="1" w:styleId="Mencinsinresolver2">
    <w:name w:val="Mención sin resolver2"/>
    <w:uiPriority w:val="99"/>
    <w:semiHidden/>
    <w:unhideWhenUsed/>
    <w:rsid w:val="008775DD"/>
    <w:rPr>
      <w:color w:val="808080"/>
      <w:shd w:val="clear" w:color="auto" w:fill="E6E6E6"/>
    </w:rPr>
  </w:style>
  <w:style w:type="character" w:customStyle="1" w:styleId="Mencinsinresolver3">
    <w:name w:val="Mención sin resolver3"/>
    <w:uiPriority w:val="99"/>
    <w:semiHidden/>
    <w:unhideWhenUsed/>
    <w:rsid w:val="008775DD"/>
    <w:rPr>
      <w:color w:val="605E5C"/>
      <w:shd w:val="clear" w:color="auto" w:fill="E1DFDD"/>
    </w:rPr>
  </w:style>
  <w:style w:type="character" w:customStyle="1" w:styleId="A1">
    <w:name w:val="A1"/>
    <w:uiPriority w:val="99"/>
    <w:rsid w:val="008775DD"/>
    <w:rPr>
      <w:rFonts w:cs="Myriad Pro Light"/>
      <w:color w:val="000000"/>
      <w:sz w:val="20"/>
      <w:szCs w:val="20"/>
    </w:rPr>
  </w:style>
  <w:style w:type="character" w:customStyle="1" w:styleId="A7">
    <w:name w:val="A7"/>
    <w:uiPriority w:val="99"/>
    <w:rsid w:val="008775DD"/>
    <w:rPr>
      <w:rFonts w:cs="Myriad Pro Light"/>
      <w:color w:val="000000"/>
      <w:sz w:val="11"/>
      <w:szCs w:val="11"/>
    </w:rPr>
  </w:style>
  <w:style w:type="paragraph" w:customStyle="1" w:styleId="dTtulo">
    <w:name w:val="d_Título"/>
    <w:basedOn w:val="Normal"/>
    <w:link w:val="dTtuloCar"/>
    <w:rsid w:val="008775DD"/>
    <w:pPr>
      <w:tabs>
        <w:tab w:val="right" w:pos="2552"/>
      </w:tabs>
      <w:spacing w:after="0" w:line="280" w:lineRule="exact"/>
      <w:ind w:left="72" w:right="-57"/>
      <w:jc w:val="left"/>
    </w:pPr>
    <w:rPr>
      <w:rFonts w:ascii="Arial" w:eastAsia="Times New Roman" w:hAnsi="Arial" w:cs="Times New Roman"/>
      <w:color w:val="auto"/>
      <w:spacing w:val="-2"/>
      <w:szCs w:val="20"/>
      <w:lang w:val="en-GB" w:eastAsia="es-ES"/>
    </w:rPr>
  </w:style>
  <w:style w:type="character" w:customStyle="1" w:styleId="dTtuloCar">
    <w:name w:val="d_Título Car"/>
    <w:link w:val="dTtulo"/>
    <w:rsid w:val="008775DD"/>
    <w:rPr>
      <w:rFonts w:ascii="Arial" w:eastAsia="Times New Roman" w:hAnsi="Arial" w:cs="Times New Roman"/>
      <w:spacing w:val="-2"/>
      <w:sz w:val="20"/>
      <w:szCs w:val="20"/>
      <w:lang w:val="en-GB" w:eastAsia="es-ES"/>
    </w:rPr>
  </w:style>
  <w:style w:type="paragraph" w:customStyle="1" w:styleId="dNormalNegrita">
    <w:name w:val="d_Normal + Negrita"/>
    <w:basedOn w:val="Normal"/>
    <w:link w:val="dNormalNegritaCar"/>
    <w:rsid w:val="008775DD"/>
    <w:pPr>
      <w:tabs>
        <w:tab w:val="right" w:pos="2552"/>
      </w:tabs>
      <w:spacing w:after="0" w:line="280" w:lineRule="exact"/>
      <w:ind w:left="72" w:right="-57"/>
      <w:jc w:val="left"/>
    </w:pPr>
    <w:rPr>
      <w:rFonts w:ascii="Arial" w:eastAsia="Times New Roman" w:hAnsi="Arial" w:cs="Arial"/>
      <w:b/>
      <w:bCs/>
      <w:color w:val="auto"/>
      <w:spacing w:val="-2"/>
      <w:sz w:val="18"/>
      <w:szCs w:val="20"/>
      <w:lang w:val="es-ES_tradnl" w:eastAsia="es-ES"/>
    </w:rPr>
  </w:style>
  <w:style w:type="character" w:customStyle="1" w:styleId="dNormalNegritaCar">
    <w:name w:val="d_Normal + Negrita Car"/>
    <w:link w:val="dNormalNegrita"/>
    <w:rsid w:val="008775DD"/>
    <w:rPr>
      <w:rFonts w:ascii="Arial" w:eastAsia="Times New Roman" w:hAnsi="Arial" w:cs="Arial"/>
      <w:b/>
      <w:bCs/>
      <w:spacing w:val="-2"/>
      <w:sz w:val="18"/>
      <w:szCs w:val="20"/>
      <w:lang w:val="es-ES_tradnl" w:eastAsia="es-ES"/>
    </w:rPr>
  </w:style>
  <w:style w:type="paragraph" w:customStyle="1" w:styleId="subtitulo40">
    <w:name w:val="subtitulo 4"/>
    <w:basedOn w:val="SubttuloFactor"/>
    <w:link w:val="subtitulo4Car0"/>
    <w:rsid w:val="008775DD"/>
    <w:pPr>
      <w:numPr>
        <w:numId w:val="19"/>
      </w:numPr>
      <w:spacing w:after="120" w:line="240" w:lineRule="auto"/>
      <w:jc w:val="left"/>
      <w:outlineLvl w:val="2"/>
    </w:pPr>
  </w:style>
  <w:style w:type="character" w:customStyle="1" w:styleId="subtitulo4Car0">
    <w:name w:val="subtitulo 4 Car"/>
    <w:basedOn w:val="Fuentedeprrafopredeter"/>
    <w:link w:val="subtitulo40"/>
    <w:rsid w:val="008775DD"/>
    <w:rPr>
      <w:rFonts w:asciiTheme="majorHAnsi" w:eastAsiaTheme="minorHAnsi" w:hAnsiTheme="majorHAnsi"/>
      <w:color w:val="1E3B59"/>
      <w:sz w:val="24"/>
      <w:szCs w:val="24"/>
    </w:rPr>
  </w:style>
  <w:style w:type="table" w:customStyle="1" w:styleId="TableNormal3">
    <w:name w:val="Table Normal3"/>
    <w:uiPriority w:val="2"/>
    <w:semiHidden/>
    <w:unhideWhenUsed/>
    <w:qFormat/>
    <w:rsid w:val="008775DD"/>
    <w:pPr>
      <w:widowControl w:val="0"/>
      <w:autoSpaceDE w:val="0"/>
      <w:autoSpaceDN w:val="0"/>
      <w:spacing w:after="0" w:line="240" w:lineRule="auto"/>
    </w:pPr>
    <w:rPr>
      <w:rFonts w:eastAsiaTheme="minorHAnsi"/>
      <w:lang w:val="en-US"/>
    </w:rPr>
    <w:tblPr>
      <w:tblInd w:w="0" w:type="dxa"/>
      <w:tblCellMar>
        <w:top w:w="0" w:type="dxa"/>
        <w:left w:w="0" w:type="dxa"/>
        <w:bottom w:w="0" w:type="dxa"/>
        <w:right w:w="0" w:type="dxa"/>
      </w:tblCellMar>
    </w:tblPr>
  </w:style>
  <w:style w:type="table" w:customStyle="1" w:styleId="TableNormal4">
    <w:name w:val="Table Normal4"/>
    <w:uiPriority w:val="2"/>
    <w:semiHidden/>
    <w:unhideWhenUsed/>
    <w:qFormat/>
    <w:rsid w:val="008775DD"/>
    <w:pPr>
      <w:widowControl w:val="0"/>
      <w:autoSpaceDE w:val="0"/>
      <w:autoSpaceDN w:val="0"/>
      <w:spacing w:after="0" w:line="240" w:lineRule="auto"/>
    </w:pPr>
    <w:rPr>
      <w:rFonts w:eastAsiaTheme="minorHAnsi"/>
      <w:lang w:val="en-US"/>
    </w:rPr>
    <w:tblPr>
      <w:tblInd w:w="0" w:type="dxa"/>
      <w:tblCellMar>
        <w:top w:w="0" w:type="dxa"/>
        <w:left w:w="0" w:type="dxa"/>
        <w:bottom w:w="0" w:type="dxa"/>
        <w:right w:w="0" w:type="dxa"/>
      </w:tblCellMar>
    </w:tblPr>
  </w:style>
  <w:style w:type="table" w:styleId="Tablanormal5">
    <w:name w:val="Plain Table 5"/>
    <w:basedOn w:val="Tablanormal"/>
    <w:uiPriority w:val="45"/>
    <w:rsid w:val="008775DD"/>
    <w:pPr>
      <w:spacing w:after="0" w:line="240" w:lineRule="auto"/>
    </w:pPr>
    <w:rPr>
      <w:rFonts w:eastAsiaTheme="minorHAnsi"/>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eGrid2">
    <w:name w:val="Table Grid2"/>
    <w:basedOn w:val="Tablanormal"/>
    <w:next w:val="Tablaconcuadrcula"/>
    <w:uiPriority w:val="59"/>
    <w:rsid w:val="008775DD"/>
    <w:pPr>
      <w:spacing w:after="0" w:line="240" w:lineRule="auto"/>
    </w:pPr>
    <w:rPr>
      <w:rFonts w:ascii="Times New Roman" w:eastAsia="Calibri"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fasissutil">
    <w:name w:val="Subtle Emphasis"/>
    <w:basedOn w:val="Fuentedeprrafopredeter"/>
    <w:uiPriority w:val="19"/>
    <w:rsid w:val="008775DD"/>
    <w:rPr>
      <w:i/>
      <w:iCs/>
      <w:color w:val="404040" w:themeColor="text1" w:themeTint="BF"/>
    </w:rPr>
  </w:style>
  <w:style w:type="character" w:customStyle="1" w:styleId="color11">
    <w:name w:val="color_11"/>
    <w:basedOn w:val="Fuentedeprrafopredeter"/>
    <w:rsid w:val="008775DD"/>
  </w:style>
  <w:style w:type="paragraph" w:customStyle="1" w:styleId="font8">
    <w:name w:val="font_8"/>
    <w:basedOn w:val="Normal"/>
    <w:rsid w:val="008775DD"/>
    <w:pPr>
      <w:spacing w:before="100" w:beforeAutospacing="1" w:after="100" w:afterAutospacing="1" w:line="240" w:lineRule="auto"/>
      <w:jc w:val="left"/>
    </w:pPr>
    <w:rPr>
      <w:rFonts w:ascii="Times New Roman" w:eastAsia="Times New Roman" w:hAnsi="Times New Roman" w:cs="Times New Roman"/>
      <w:color w:val="auto"/>
      <w:sz w:val="24"/>
      <w:szCs w:val="24"/>
      <w:lang w:eastAsia="es-ES"/>
    </w:rPr>
  </w:style>
  <w:style w:type="paragraph" w:customStyle="1" w:styleId="Figuras">
    <w:name w:val="Figuras"/>
    <w:basedOn w:val="Descripcin"/>
    <w:link w:val="FigurasCar"/>
    <w:qFormat/>
    <w:rsid w:val="008775DD"/>
    <w:pPr>
      <w:spacing w:after="0"/>
      <w:jc w:val="right"/>
    </w:pPr>
    <w:rPr>
      <w:rFonts w:asciiTheme="majorHAnsi" w:eastAsiaTheme="minorHAnsi" w:hAnsiTheme="majorHAnsi"/>
      <w:b w:val="0"/>
      <w:bCs w:val="0"/>
      <w:iCs/>
      <w:color w:val="1E3B59"/>
      <w:lang w:val="es-EC"/>
    </w:rPr>
  </w:style>
  <w:style w:type="character" w:customStyle="1" w:styleId="FigurasCar">
    <w:name w:val="Figuras Car"/>
    <w:basedOn w:val="Fuentedeprrafopredeter"/>
    <w:link w:val="Figuras"/>
    <w:rsid w:val="008775DD"/>
    <w:rPr>
      <w:rFonts w:asciiTheme="majorHAnsi" w:eastAsiaTheme="minorHAnsi" w:hAnsiTheme="majorHAnsi"/>
      <w:iCs/>
      <w:color w:val="1E3B59"/>
      <w:sz w:val="18"/>
      <w:szCs w:val="18"/>
      <w:lang w:val="es-EC"/>
    </w:rPr>
  </w:style>
  <w:style w:type="character" w:styleId="Referenciasutil">
    <w:name w:val="Subtle Reference"/>
    <w:uiPriority w:val="31"/>
    <w:rsid w:val="008775DD"/>
    <w:rPr>
      <w:rFonts w:asciiTheme="majorHAnsi" w:hAnsiTheme="majorHAnsi"/>
      <w:i/>
      <w:smallCaps/>
      <w:color w:val="1E3B59"/>
      <w:sz w:val="18"/>
    </w:rPr>
  </w:style>
  <w:style w:type="character" w:styleId="Mencionar">
    <w:name w:val="Mention"/>
    <w:basedOn w:val="Fuentedeprrafopredeter"/>
    <w:uiPriority w:val="99"/>
    <w:unhideWhenUsed/>
    <w:rsid w:val="008775DD"/>
    <w:rPr>
      <w:color w:val="2B579A"/>
      <w:shd w:val="clear" w:color="auto" w:fill="E1DFDD"/>
    </w:rPr>
  </w:style>
  <w:style w:type="table" w:customStyle="1" w:styleId="TableNormal5">
    <w:name w:val="Table Normal5"/>
    <w:uiPriority w:val="2"/>
    <w:semiHidden/>
    <w:unhideWhenUsed/>
    <w:qFormat/>
    <w:rsid w:val="008775DD"/>
    <w:pPr>
      <w:widowControl w:val="0"/>
      <w:autoSpaceDE w:val="0"/>
      <w:autoSpaceDN w:val="0"/>
      <w:spacing w:after="0" w:line="240" w:lineRule="auto"/>
    </w:pPr>
    <w:rPr>
      <w:rFonts w:eastAsiaTheme="minorHAnsi"/>
      <w:lang w:val="en-US"/>
    </w:rPr>
    <w:tblPr>
      <w:tblInd w:w="0" w:type="dxa"/>
      <w:tblCellMar>
        <w:top w:w="0" w:type="dxa"/>
        <w:left w:w="0" w:type="dxa"/>
        <w:bottom w:w="0" w:type="dxa"/>
        <w:right w:w="0" w:type="dxa"/>
      </w:tblCellMar>
    </w:tblPr>
  </w:style>
  <w:style w:type="paragraph" w:customStyle="1" w:styleId="bullet-verde">
    <w:name w:val="bullet-verde"/>
    <w:basedOn w:val="Normal"/>
    <w:rsid w:val="008775DD"/>
    <w:pPr>
      <w:spacing w:before="100" w:beforeAutospacing="1" w:after="100" w:afterAutospacing="1" w:line="240" w:lineRule="auto"/>
      <w:jc w:val="left"/>
    </w:pPr>
    <w:rPr>
      <w:rFonts w:ascii="Times New Roman" w:eastAsia="Times New Roman" w:hAnsi="Times New Roman" w:cs="Times New Roman"/>
      <w:color w:val="auto"/>
      <w:sz w:val="24"/>
      <w:szCs w:val="24"/>
      <w:lang w:val="es-EC" w:eastAsia="es-EC"/>
    </w:rPr>
  </w:style>
  <w:style w:type="paragraph" w:customStyle="1" w:styleId="xmsolistparagraph">
    <w:name w:val="x_msolistparagraph"/>
    <w:basedOn w:val="Normal"/>
    <w:rsid w:val="008775DD"/>
    <w:pPr>
      <w:spacing w:before="100" w:beforeAutospacing="1" w:after="100" w:afterAutospacing="1" w:line="240" w:lineRule="auto"/>
      <w:jc w:val="left"/>
    </w:pPr>
    <w:rPr>
      <w:rFonts w:ascii="Times New Roman" w:eastAsia="Times New Roman" w:hAnsi="Times New Roman" w:cs="Times New Roman"/>
      <w:color w:val="auto"/>
      <w:sz w:val="24"/>
      <w:szCs w:val="24"/>
      <w:lang w:val="en-US"/>
    </w:rPr>
  </w:style>
  <w:style w:type="character" w:customStyle="1" w:styleId="7EnumerdosCar">
    <w:name w:val="7_Enumerdos Car"/>
    <w:basedOn w:val="7BulletpointsCar"/>
    <w:link w:val="7Enumerdos"/>
    <w:rsid w:val="00B93AB7"/>
    <w:rPr>
      <w:rFonts w:asciiTheme="majorHAnsi" w:hAnsiTheme="majorHAnsi" w:cstheme="majorHAnsi"/>
      <w:color w:val="1D3C5A"/>
      <w:sz w:val="20"/>
      <w:szCs w:val="20"/>
      <w:lang w:val="es" w:eastAsia="zh-CN"/>
    </w:rPr>
  </w:style>
  <w:style w:type="paragraph" w:customStyle="1" w:styleId="Puce1">
    <w:name w:val="Puce 1"/>
    <w:basedOn w:val="Normal"/>
    <w:rsid w:val="008775DD"/>
    <w:pPr>
      <w:numPr>
        <w:numId w:val="20"/>
      </w:numPr>
      <w:spacing w:before="20" w:after="20" w:line="240" w:lineRule="auto"/>
      <w:ind w:left="284" w:hanging="284"/>
    </w:pPr>
    <w:rPr>
      <w:rFonts w:ascii="Arial" w:eastAsia="Times New Roman" w:hAnsi="Arial" w:cs="Times New Roman"/>
      <w:color w:val="auto"/>
      <w:sz w:val="18"/>
      <w:szCs w:val="18"/>
      <w:lang w:eastAsia="fr-FR"/>
    </w:rPr>
  </w:style>
  <w:style w:type="character" w:customStyle="1" w:styleId="A2">
    <w:name w:val="A2"/>
    <w:uiPriority w:val="99"/>
    <w:rsid w:val="008775DD"/>
    <w:rPr>
      <w:rFonts w:cs="Aller"/>
      <w:color w:val="000000"/>
      <w:sz w:val="21"/>
      <w:szCs w:val="21"/>
    </w:rPr>
  </w:style>
  <w:style w:type="paragraph" w:customStyle="1" w:styleId="msonormal0">
    <w:name w:val="msonormal"/>
    <w:basedOn w:val="Normal"/>
    <w:rsid w:val="008775DD"/>
    <w:pPr>
      <w:spacing w:before="100" w:beforeAutospacing="1" w:after="100" w:afterAutospacing="1" w:line="240" w:lineRule="auto"/>
      <w:jc w:val="left"/>
    </w:pPr>
    <w:rPr>
      <w:rFonts w:ascii="Times New Roman" w:eastAsia="Times New Roman" w:hAnsi="Times New Roman" w:cs="Times New Roman"/>
      <w:color w:val="auto"/>
      <w:sz w:val="24"/>
      <w:szCs w:val="24"/>
      <w:lang w:val="es-EC" w:eastAsia="es-EC"/>
    </w:rPr>
  </w:style>
  <w:style w:type="paragraph" w:customStyle="1" w:styleId="font5">
    <w:name w:val="font5"/>
    <w:basedOn w:val="Normal"/>
    <w:rsid w:val="008775DD"/>
    <w:pPr>
      <w:spacing w:before="100" w:beforeAutospacing="1" w:after="100" w:afterAutospacing="1" w:line="240" w:lineRule="auto"/>
      <w:jc w:val="left"/>
    </w:pPr>
    <w:rPr>
      <w:rFonts w:ascii="Calibri Light" w:eastAsia="Times New Roman" w:hAnsi="Calibri Light" w:cs="Times New Roman"/>
      <w:b/>
      <w:bCs/>
      <w:color w:val="1E3B59"/>
      <w:sz w:val="18"/>
      <w:szCs w:val="18"/>
      <w:lang w:val="es-EC" w:eastAsia="es-EC"/>
    </w:rPr>
  </w:style>
  <w:style w:type="paragraph" w:customStyle="1" w:styleId="xl63">
    <w:name w:val="xl63"/>
    <w:basedOn w:val="Normal"/>
    <w:rsid w:val="008775DD"/>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line="240" w:lineRule="auto"/>
      <w:textAlignment w:val="center"/>
    </w:pPr>
    <w:rPr>
      <w:rFonts w:ascii="Times New Roman" w:eastAsia="Times New Roman" w:hAnsi="Times New Roman" w:cs="Times New Roman"/>
      <w:color w:val="000000"/>
      <w:sz w:val="24"/>
      <w:szCs w:val="24"/>
      <w:lang w:val="es-EC" w:eastAsia="es-EC"/>
    </w:rPr>
  </w:style>
  <w:style w:type="paragraph" w:customStyle="1" w:styleId="xl64">
    <w:name w:val="xl64"/>
    <w:basedOn w:val="Normal"/>
    <w:rsid w:val="008775D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4"/>
      <w:szCs w:val="24"/>
      <w:lang w:val="es-EC" w:eastAsia="es-EC"/>
    </w:rPr>
  </w:style>
  <w:style w:type="paragraph" w:customStyle="1" w:styleId="xl65">
    <w:name w:val="xl65"/>
    <w:basedOn w:val="Normal"/>
    <w:rsid w:val="008775DD"/>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4"/>
      <w:szCs w:val="24"/>
      <w:lang w:val="es-EC" w:eastAsia="es-EC"/>
    </w:rPr>
  </w:style>
  <w:style w:type="paragraph" w:customStyle="1" w:styleId="xl66">
    <w:name w:val="xl66"/>
    <w:basedOn w:val="Normal"/>
    <w:rsid w:val="008775D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FFFFFF"/>
      <w:sz w:val="24"/>
      <w:szCs w:val="24"/>
      <w:lang w:val="es-EC" w:eastAsia="es-EC"/>
    </w:rPr>
  </w:style>
  <w:style w:type="paragraph" w:customStyle="1" w:styleId="xl67">
    <w:name w:val="xl67"/>
    <w:basedOn w:val="Normal"/>
    <w:rsid w:val="008775DD"/>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FFFFFF"/>
      <w:sz w:val="24"/>
      <w:szCs w:val="24"/>
      <w:lang w:val="es-EC" w:eastAsia="es-EC"/>
    </w:rPr>
  </w:style>
  <w:style w:type="paragraph" w:customStyle="1" w:styleId="xl68">
    <w:name w:val="xl68"/>
    <w:basedOn w:val="Normal"/>
    <w:rsid w:val="008775DD"/>
    <w:pPr>
      <w:pBdr>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4"/>
      <w:szCs w:val="24"/>
      <w:lang w:val="es-EC" w:eastAsia="es-EC"/>
    </w:rPr>
  </w:style>
  <w:style w:type="paragraph" w:customStyle="1" w:styleId="xl69">
    <w:name w:val="xl69"/>
    <w:basedOn w:val="Normal"/>
    <w:rsid w:val="008775DD"/>
    <w:pPr>
      <w:pBdr>
        <w:left w:val="single" w:sz="4" w:space="0" w:color="auto"/>
        <w:bottom w:val="single" w:sz="4" w:space="0" w:color="auto"/>
        <w:right w:val="single" w:sz="4" w:space="0" w:color="auto"/>
      </w:pBdr>
      <w:shd w:val="clear" w:color="000000" w:fill="B4C6E7"/>
      <w:spacing w:before="100" w:beforeAutospacing="1" w:after="100" w:afterAutospacing="1" w:line="240" w:lineRule="auto"/>
      <w:textAlignment w:val="center"/>
    </w:pPr>
    <w:rPr>
      <w:rFonts w:ascii="Times New Roman" w:eastAsia="Times New Roman" w:hAnsi="Times New Roman" w:cs="Times New Roman"/>
      <w:color w:val="000000"/>
      <w:sz w:val="24"/>
      <w:szCs w:val="24"/>
      <w:lang w:val="es-EC" w:eastAsia="es-EC"/>
    </w:rPr>
  </w:style>
  <w:style w:type="paragraph" w:customStyle="1" w:styleId="xl70">
    <w:name w:val="xl70"/>
    <w:basedOn w:val="Normal"/>
    <w:rsid w:val="008775DD"/>
    <w:pPr>
      <w:pBdr>
        <w:top w:val="single" w:sz="8" w:space="0" w:color="auto"/>
        <w:left w:val="single" w:sz="4" w:space="0" w:color="auto"/>
        <w:bottom w:val="single" w:sz="4" w:space="0" w:color="auto"/>
        <w:right w:val="single" w:sz="4" w:space="0" w:color="auto"/>
      </w:pBdr>
      <w:shd w:val="clear" w:color="000000" w:fill="B4C6E7"/>
      <w:spacing w:before="100" w:beforeAutospacing="1" w:after="100" w:afterAutospacing="1" w:line="240" w:lineRule="auto"/>
      <w:textAlignment w:val="center"/>
    </w:pPr>
    <w:rPr>
      <w:rFonts w:ascii="Times New Roman" w:eastAsia="Times New Roman" w:hAnsi="Times New Roman" w:cs="Times New Roman"/>
      <w:color w:val="000000"/>
      <w:sz w:val="24"/>
      <w:szCs w:val="24"/>
      <w:lang w:val="es-EC" w:eastAsia="es-EC"/>
    </w:rPr>
  </w:style>
  <w:style w:type="paragraph" w:customStyle="1" w:styleId="xl71">
    <w:name w:val="xl71"/>
    <w:basedOn w:val="Normal"/>
    <w:rsid w:val="008775DD"/>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4"/>
      <w:szCs w:val="24"/>
      <w:lang w:val="es-EC" w:eastAsia="es-EC"/>
    </w:rPr>
  </w:style>
  <w:style w:type="paragraph" w:customStyle="1" w:styleId="xl72">
    <w:name w:val="xl72"/>
    <w:basedOn w:val="Normal"/>
    <w:rsid w:val="008775DD"/>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4"/>
      <w:szCs w:val="24"/>
      <w:lang w:val="es-EC" w:eastAsia="es-EC"/>
    </w:rPr>
  </w:style>
  <w:style w:type="paragraph" w:customStyle="1" w:styleId="xl73">
    <w:name w:val="xl73"/>
    <w:basedOn w:val="Normal"/>
    <w:rsid w:val="008775D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4"/>
      <w:szCs w:val="24"/>
      <w:lang w:val="es-EC" w:eastAsia="es-EC"/>
    </w:rPr>
  </w:style>
  <w:style w:type="paragraph" w:customStyle="1" w:styleId="xl74">
    <w:name w:val="xl74"/>
    <w:basedOn w:val="Normal"/>
    <w:rsid w:val="008775DD"/>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4"/>
      <w:szCs w:val="24"/>
      <w:lang w:val="es-EC" w:eastAsia="es-EC"/>
    </w:rPr>
  </w:style>
  <w:style w:type="paragraph" w:customStyle="1" w:styleId="xl75">
    <w:name w:val="xl75"/>
    <w:basedOn w:val="Normal"/>
    <w:rsid w:val="008775DD"/>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4"/>
      <w:szCs w:val="24"/>
      <w:lang w:val="es-EC" w:eastAsia="es-EC"/>
    </w:rPr>
  </w:style>
  <w:style w:type="paragraph" w:customStyle="1" w:styleId="xl76">
    <w:name w:val="xl76"/>
    <w:basedOn w:val="Normal"/>
    <w:rsid w:val="008775DD"/>
    <w:pPr>
      <w:pBdr>
        <w:top w:val="single" w:sz="8" w:space="0" w:color="auto"/>
        <w:left w:val="single" w:sz="4" w:space="0" w:color="auto"/>
        <w:bottom w:val="single" w:sz="4" w:space="0" w:color="auto"/>
        <w:right w:val="single" w:sz="4" w:space="0" w:color="auto"/>
      </w:pBdr>
      <w:shd w:val="clear" w:color="000000" w:fill="203764"/>
      <w:spacing w:before="100" w:beforeAutospacing="1" w:after="100" w:afterAutospacing="1" w:line="240" w:lineRule="auto"/>
      <w:jc w:val="center"/>
      <w:textAlignment w:val="center"/>
    </w:pPr>
    <w:rPr>
      <w:rFonts w:ascii="Calibri Light" w:eastAsia="Times New Roman" w:hAnsi="Calibri Light" w:cs="Times New Roman"/>
      <w:b/>
      <w:bCs/>
      <w:color w:val="FFFFFF"/>
      <w:szCs w:val="20"/>
      <w:lang w:val="es-EC" w:eastAsia="es-EC"/>
    </w:rPr>
  </w:style>
  <w:style w:type="paragraph" w:customStyle="1" w:styleId="xl77">
    <w:name w:val="xl77"/>
    <w:basedOn w:val="Normal"/>
    <w:rsid w:val="008775DD"/>
    <w:pPr>
      <w:pBdr>
        <w:top w:val="single" w:sz="8" w:space="0" w:color="auto"/>
        <w:left w:val="single" w:sz="4" w:space="0" w:color="auto"/>
        <w:bottom w:val="single" w:sz="4" w:space="0" w:color="auto"/>
        <w:right w:val="single" w:sz="8" w:space="0" w:color="auto"/>
      </w:pBdr>
      <w:shd w:val="clear" w:color="000000" w:fill="203764"/>
      <w:spacing w:before="100" w:beforeAutospacing="1" w:after="100" w:afterAutospacing="1" w:line="240" w:lineRule="auto"/>
      <w:jc w:val="center"/>
      <w:textAlignment w:val="center"/>
    </w:pPr>
    <w:rPr>
      <w:rFonts w:ascii="Calibri Light" w:eastAsia="Times New Roman" w:hAnsi="Calibri Light" w:cs="Times New Roman"/>
      <w:b/>
      <w:bCs/>
      <w:color w:val="FFFFFF"/>
      <w:szCs w:val="20"/>
      <w:lang w:val="es-EC" w:eastAsia="es-EC"/>
    </w:rPr>
  </w:style>
  <w:style w:type="paragraph" w:customStyle="1" w:styleId="xl78">
    <w:name w:val="xl78"/>
    <w:basedOn w:val="Normal"/>
    <w:rsid w:val="008775DD"/>
    <w:pPr>
      <w:pBdr>
        <w:top w:val="single" w:sz="4" w:space="0" w:color="auto"/>
        <w:left w:val="single" w:sz="4" w:space="0" w:color="auto"/>
        <w:bottom w:val="single" w:sz="8" w:space="0" w:color="auto"/>
        <w:right w:val="single" w:sz="4" w:space="0" w:color="auto"/>
      </w:pBdr>
      <w:shd w:val="clear" w:color="000000" w:fill="203764"/>
      <w:spacing w:before="100" w:beforeAutospacing="1" w:after="100" w:afterAutospacing="1" w:line="240" w:lineRule="auto"/>
      <w:textAlignment w:val="center"/>
    </w:pPr>
    <w:rPr>
      <w:rFonts w:ascii="Calibri Light" w:eastAsia="Times New Roman" w:hAnsi="Calibri Light" w:cs="Times New Roman"/>
      <w:b/>
      <w:bCs/>
      <w:color w:val="FFFFFF"/>
      <w:szCs w:val="20"/>
      <w:lang w:val="es-EC" w:eastAsia="es-EC"/>
    </w:rPr>
  </w:style>
  <w:style w:type="paragraph" w:customStyle="1" w:styleId="xl79">
    <w:name w:val="xl79"/>
    <w:basedOn w:val="Normal"/>
    <w:rsid w:val="008775DD"/>
    <w:pPr>
      <w:pBdr>
        <w:top w:val="single" w:sz="4" w:space="0" w:color="auto"/>
        <w:left w:val="single" w:sz="4" w:space="0" w:color="auto"/>
        <w:bottom w:val="single" w:sz="8" w:space="0" w:color="auto"/>
        <w:right w:val="single" w:sz="8" w:space="0" w:color="auto"/>
      </w:pBdr>
      <w:shd w:val="clear" w:color="000000" w:fill="203764"/>
      <w:spacing w:before="100" w:beforeAutospacing="1" w:after="100" w:afterAutospacing="1" w:line="240" w:lineRule="auto"/>
      <w:textAlignment w:val="center"/>
    </w:pPr>
    <w:rPr>
      <w:rFonts w:ascii="Calibri Light" w:eastAsia="Times New Roman" w:hAnsi="Calibri Light" w:cs="Times New Roman"/>
      <w:b/>
      <w:bCs/>
      <w:color w:val="FFFFFF"/>
      <w:szCs w:val="20"/>
      <w:lang w:val="es-EC" w:eastAsia="es-EC"/>
    </w:rPr>
  </w:style>
  <w:style w:type="paragraph" w:customStyle="1" w:styleId="xl80">
    <w:name w:val="xl80"/>
    <w:basedOn w:val="Normal"/>
    <w:rsid w:val="008775DD"/>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FFFFFF"/>
      <w:sz w:val="24"/>
      <w:szCs w:val="24"/>
      <w:lang w:val="es-EC" w:eastAsia="es-EC"/>
    </w:rPr>
  </w:style>
  <w:style w:type="paragraph" w:customStyle="1" w:styleId="xl81">
    <w:name w:val="xl81"/>
    <w:basedOn w:val="Normal"/>
    <w:rsid w:val="008775DD"/>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FFFFFF"/>
      <w:sz w:val="24"/>
      <w:szCs w:val="24"/>
      <w:lang w:val="es-EC" w:eastAsia="es-EC"/>
    </w:rPr>
  </w:style>
  <w:style w:type="paragraph" w:customStyle="1" w:styleId="xl82">
    <w:name w:val="xl82"/>
    <w:basedOn w:val="Normal"/>
    <w:rsid w:val="008775D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FFFFFF"/>
      <w:sz w:val="24"/>
      <w:szCs w:val="24"/>
      <w:lang w:val="es-EC" w:eastAsia="es-EC"/>
    </w:rPr>
  </w:style>
  <w:style w:type="paragraph" w:customStyle="1" w:styleId="xl83">
    <w:name w:val="xl83"/>
    <w:basedOn w:val="Normal"/>
    <w:rsid w:val="008775DD"/>
    <w:pPr>
      <w:pBdr>
        <w:top w:val="single" w:sz="4" w:space="0" w:color="auto"/>
        <w:left w:val="single" w:sz="4"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FFFFFF"/>
      <w:sz w:val="24"/>
      <w:szCs w:val="24"/>
      <w:lang w:val="es-EC" w:eastAsia="es-EC"/>
    </w:rPr>
  </w:style>
  <w:style w:type="paragraph" w:customStyle="1" w:styleId="xl84">
    <w:name w:val="xl84"/>
    <w:basedOn w:val="Normal"/>
    <w:rsid w:val="008775DD"/>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FFFFFF"/>
      <w:sz w:val="24"/>
      <w:szCs w:val="24"/>
      <w:lang w:val="es-EC" w:eastAsia="es-EC"/>
    </w:rPr>
  </w:style>
  <w:style w:type="paragraph" w:customStyle="1" w:styleId="xl85">
    <w:name w:val="xl85"/>
    <w:basedOn w:val="Normal"/>
    <w:rsid w:val="008775DD"/>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FFFFFF"/>
      <w:sz w:val="24"/>
      <w:szCs w:val="24"/>
      <w:lang w:val="es-EC" w:eastAsia="es-EC"/>
    </w:rPr>
  </w:style>
  <w:style w:type="paragraph" w:customStyle="1" w:styleId="xl86">
    <w:name w:val="xl86"/>
    <w:basedOn w:val="Normal"/>
    <w:rsid w:val="008775DD"/>
    <w:pPr>
      <w:pBdr>
        <w:top w:val="single" w:sz="4" w:space="0" w:color="auto"/>
        <w:bottom w:val="single" w:sz="8" w:space="0" w:color="auto"/>
      </w:pBdr>
      <w:shd w:val="clear" w:color="000000" w:fill="203764"/>
      <w:spacing w:before="100" w:beforeAutospacing="1" w:after="100" w:afterAutospacing="1" w:line="240" w:lineRule="auto"/>
      <w:jc w:val="center"/>
      <w:textAlignment w:val="center"/>
    </w:pPr>
    <w:rPr>
      <w:rFonts w:ascii="Calibri Light" w:eastAsia="Times New Roman" w:hAnsi="Calibri Light" w:cs="Times New Roman"/>
      <w:b/>
      <w:bCs/>
      <w:color w:val="FFFFFF"/>
      <w:sz w:val="18"/>
      <w:szCs w:val="18"/>
      <w:lang w:val="es-EC" w:eastAsia="es-EC"/>
    </w:rPr>
  </w:style>
  <w:style w:type="paragraph" w:customStyle="1" w:styleId="xl87">
    <w:name w:val="xl87"/>
    <w:basedOn w:val="Normal"/>
    <w:rsid w:val="008775DD"/>
    <w:pPr>
      <w:pBdr>
        <w:top w:val="single" w:sz="4" w:space="0" w:color="auto"/>
        <w:bottom w:val="single" w:sz="8" w:space="0" w:color="auto"/>
        <w:right w:val="single" w:sz="4" w:space="0" w:color="auto"/>
      </w:pBdr>
      <w:shd w:val="clear" w:color="000000" w:fill="203764"/>
      <w:spacing w:before="100" w:beforeAutospacing="1" w:after="100" w:afterAutospacing="1" w:line="240" w:lineRule="auto"/>
      <w:jc w:val="center"/>
      <w:textAlignment w:val="center"/>
    </w:pPr>
    <w:rPr>
      <w:rFonts w:ascii="Calibri Light" w:eastAsia="Times New Roman" w:hAnsi="Calibri Light" w:cs="Times New Roman"/>
      <w:b/>
      <w:bCs/>
      <w:color w:val="FFFFFF"/>
      <w:sz w:val="18"/>
      <w:szCs w:val="18"/>
      <w:lang w:val="es-EC" w:eastAsia="es-EC"/>
    </w:rPr>
  </w:style>
  <w:style w:type="paragraph" w:customStyle="1" w:styleId="xl88">
    <w:name w:val="xl88"/>
    <w:basedOn w:val="Normal"/>
    <w:rsid w:val="008775D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Light" w:eastAsia="Times New Roman" w:hAnsi="Calibri Light" w:cs="Times New Roman"/>
      <w:color w:val="203764"/>
      <w:sz w:val="18"/>
      <w:szCs w:val="18"/>
      <w:lang w:val="es-EC" w:eastAsia="es-EC"/>
    </w:rPr>
  </w:style>
  <w:style w:type="paragraph" w:customStyle="1" w:styleId="xl89">
    <w:name w:val="xl89"/>
    <w:basedOn w:val="Normal"/>
    <w:rsid w:val="008775DD"/>
    <w:pPr>
      <w:pBdr>
        <w:top w:val="single" w:sz="8" w:space="0" w:color="auto"/>
        <w:left w:val="single" w:sz="8" w:space="0" w:color="auto"/>
      </w:pBdr>
      <w:shd w:val="clear" w:color="000000" w:fill="203764"/>
      <w:spacing w:before="100" w:beforeAutospacing="1" w:after="100" w:afterAutospacing="1" w:line="240" w:lineRule="auto"/>
      <w:jc w:val="center"/>
      <w:textAlignment w:val="center"/>
    </w:pPr>
    <w:rPr>
      <w:rFonts w:ascii="Calibri Light" w:eastAsia="Times New Roman" w:hAnsi="Calibri Light" w:cs="Times New Roman"/>
      <w:b/>
      <w:bCs/>
      <w:color w:val="FFFFFF"/>
      <w:szCs w:val="20"/>
      <w:lang w:val="es-EC" w:eastAsia="es-EC"/>
    </w:rPr>
  </w:style>
  <w:style w:type="paragraph" w:customStyle="1" w:styleId="xl90">
    <w:name w:val="xl90"/>
    <w:basedOn w:val="Normal"/>
    <w:rsid w:val="008775DD"/>
    <w:pPr>
      <w:pBdr>
        <w:left w:val="single" w:sz="8" w:space="0" w:color="auto"/>
        <w:bottom w:val="single" w:sz="8" w:space="0" w:color="auto"/>
      </w:pBdr>
      <w:shd w:val="clear" w:color="000000" w:fill="203764"/>
      <w:spacing w:before="100" w:beforeAutospacing="1" w:after="100" w:afterAutospacing="1" w:line="240" w:lineRule="auto"/>
      <w:jc w:val="center"/>
      <w:textAlignment w:val="center"/>
    </w:pPr>
    <w:rPr>
      <w:rFonts w:ascii="Calibri Light" w:eastAsia="Times New Roman" w:hAnsi="Calibri Light" w:cs="Times New Roman"/>
      <w:b/>
      <w:bCs/>
      <w:color w:val="FFFFFF"/>
      <w:szCs w:val="20"/>
      <w:lang w:val="es-EC" w:eastAsia="es-EC"/>
    </w:rPr>
  </w:style>
  <w:style w:type="paragraph" w:customStyle="1" w:styleId="xl91">
    <w:name w:val="xl91"/>
    <w:basedOn w:val="Normal"/>
    <w:rsid w:val="008775DD"/>
    <w:pPr>
      <w:pBdr>
        <w:top w:val="single" w:sz="8"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4"/>
      <w:szCs w:val="24"/>
      <w:lang w:val="es-EC" w:eastAsia="es-EC"/>
    </w:rPr>
  </w:style>
  <w:style w:type="paragraph" w:customStyle="1" w:styleId="xl92">
    <w:name w:val="xl92"/>
    <w:basedOn w:val="Normal"/>
    <w:rsid w:val="008775DD"/>
    <w:pPr>
      <w:pBdr>
        <w:top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4"/>
      <w:szCs w:val="24"/>
      <w:lang w:val="es-EC" w:eastAsia="es-EC"/>
    </w:rPr>
  </w:style>
  <w:style w:type="paragraph" w:customStyle="1" w:styleId="xl93">
    <w:name w:val="xl93"/>
    <w:basedOn w:val="Normal"/>
    <w:rsid w:val="008775DD"/>
    <w:pPr>
      <w:pBdr>
        <w:top w:val="single" w:sz="4" w:space="0" w:color="auto"/>
        <w:bottom w:val="single" w:sz="8"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4"/>
      <w:szCs w:val="24"/>
      <w:lang w:val="es-EC" w:eastAsia="es-EC"/>
    </w:rPr>
  </w:style>
  <w:style w:type="paragraph" w:customStyle="1" w:styleId="xl94">
    <w:name w:val="xl94"/>
    <w:basedOn w:val="Normal"/>
    <w:rsid w:val="008775DD"/>
    <w:pPr>
      <w:pBdr>
        <w:top w:val="single" w:sz="8"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FFFFFF"/>
      <w:sz w:val="24"/>
      <w:szCs w:val="24"/>
      <w:lang w:val="es-EC" w:eastAsia="es-EC"/>
    </w:rPr>
  </w:style>
  <w:style w:type="paragraph" w:customStyle="1" w:styleId="xl95">
    <w:name w:val="xl95"/>
    <w:basedOn w:val="Normal"/>
    <w:rsid w:val="008775DD"/>
    <w:pPr>
      <w:pBdr>
        <w:top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FFFFFF"/>
      <w:sz w:val="24"/>
      <w:szCs w:val="24"/>
      <w:lang w:val="es-EC" w:eastAsia="es-EC"/>
    </w:rPr>
  </w:style>
  <w:style w:type="paragraph" w:customStyle="1" w:styleId="xl96">
    <w:name w:val="xl96"/>
    <w:basedOn w:val="Normal"/>
    <w:rsid w:val="008775DD"/>
    <w:pPr>
      <w:pBdr>
        <w:top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FFFFFF"/>
      <w:sz w:val="24"/>
      <w:szCs w:val="24"/>
      <w:lang w:val="es-EC" w:eastAsia="es-EC"/>
    </w:rPr>
  </w:style>
  <w:style w:type="paragraph" w:customStyle="1" w:styleId="xl97">
    <w:name w:val="xl97"/>
    <w:basedOn w:val="Normal"/>
    <w:rsid w:val="008775DD"/>
    <w:pPr>
      <w:pBdr>
        <w:bottom w:val="single" w:sz="4" w:space="0" w:color="auto"/>
        <w:right w:val="single" w:sz="4" w:space="0" w:color="auto"/>
      </w:pBdr>
      <w:shd w:val="clear" w:color="000000" w:fill="B4C6E7"/>
      <w:spacing w:before="100" w:beforeAutospacing="1" w:after="100" w:afterAutospacing="1" w:line="240" w:lineRule="auto"/>
      <w:textAlignment w:val="center"/>
    </w:pPr>
    <w:rPr>
      <w:rFonts w:ascii="Times New Roman" w:eastAsia="Times New Roman" w:hAnsi="Times New Roman" w:cs="Times New Roman"/>
      <w:color w:val="000000"/>
      <w:sz w:val="24"/>
      <w:szCs w:val="24"/>
      <w:lang w:val="es-EC" w:eastAsia="es-EC"/>
    </w:rPr>
  </w:style>
  <w:style w:type="paragraph" w:customStyle="1" w:styleId="xl98">
    <w:name w:val="xl98"/>
    <w:basedOn w:val="Normal"/>
    <w:rsid w:val="008775DD"/>
    <w:pPr>
      <w:pBdr>
        <w:top w:val="single" w:sz="8" w:space="0" w:color="auto"/>
        <w:left w:val="single" w:sz="8" w:space="0" w:color="auto"/>
      </w:pBdr>
      <w:shd w:val="clear" w:color="000000" w:fill="4DB38C"/>
      <w:spacing w:before="100" w:beforeAutospacing="1" w:after="100" w:afterAutospacing="1" w:line="240" w:lineRule="auto"/>
      <w:jc w:val="left"/>
      <w:textAlignment w:val="center"/>
    </w:pPr>
    <w:rPr>
      <w:rFonts w:ascii="Calibri Light" w:eastAsia="Times New Roman" w:hAnsi="Calibri Light" w:cs="Times New Roman"/>
      <w:b/>
      <w:bCs/>
      <w:color w:val="FFFFFF"/>
      <w:sz w:val="18"/>
      <w:szCs w:val="18"/>
      <w:lang w:val="es-EC" w:eastAsia="es-EC"/>
    </w:rPr>
  </w:style>
  <w:style w:type="paragraph" w:customStyle="1" w:styleId="xl99">
    <w:name w:val="xl99"/>
    <w:basedOn w:val="Normal"/>
    <w:rsid w:val="008775DD"/>
    <w:pPr>
      <w:pBdr>
        <w:top w:val="single" w:sz="8" w:space="0" w:color="auto"/>
      </w:pBdr>
      <w:shd w:val="clear" w:color="000000" w:fill="4DB38C"/>
      <w:spacing w:before="100" w:beforeAutospacing="1" w:after="100" w:afterAutospacing="1" w:line="240" w:lineRule="auto"/>
      <w:jc w:val="left"/>
      <w:textAlignment w:val="center"/>
    </w:pPr>
    <w:rPr>
      <w:rFonts w:ascii="Calibri Light" w:eastAsia="Times New Roman" w:hAnsi="Calibri Light" w:cs="Times New Roman"/>
      <w:b/>
      <w:bCs/>
      <w:color w:val="FFFFFF"/>
      <w:szCs w:val="20"/>
      <w:lang w:val="es-EC" w:eastAsia="es-EC"/>
    </w:rPr>
  </w:style>
  <w:style w:type="paragraph" w:customStyle="1" w:styleId="xl100">
    <w:name w:val="xl100"/>
    <w:basedOn w:val="Normal"/>
    <w:rsid w:val="008775D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Calibri Light" w:eastAsia="Times New Roman" w:hAnsi="Calibri Light" w:cs="Times New Roman"/>
      <w:color w:val="1E3B59"/>
      <w:sz w:val="18"/>
      <w:szCs w:val="18"/>
      <w:lang w:val="es-EC" w:eastAsia="es-EC"/>
    </w:rPr>
  </w:style>
  <w:style w:type="paragraph" w:customStyle="1" w:styleId="xl101">
    <w:name w:val="xl101"/>
    <w:basedOn w:val="Normal"/>
    <w:rsid w:val="008775D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Calibri Light" w:eastAsia="Times New Roman" w:hAnsi="Calibri Light" w:cs="Times New Roman"/>
      <w:color w:val="1E3B59"/>
      <w:sz w:val="18"/>
      <w:szCs w:val="18"/>
      <w:lang w:val="es-EC" w:eastAsia="es-EC"/>
    </w:rPr>
  </w:style>
  <w:style w:type="paragraph" w:customStyle="1" w:styleId="xl102">
    <w:name w:val="xl102"/>
    <w:basedOn w:val="Normal"/>
    <w:rsid w:val="008775D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Light" w:eastAsia="Times New Roman" w:hAnsi="Calibri Light" w:cs="Times New Roman"/>
      <w:color w:val="1E3B59"/>
      <w:sz w:val="18"/>
      <w:szCs w:val="18"/>
      <w:lang w:val="es-EC" w:eastAsia="es-EC"/>
    </w:rPr>
  </w:style>
  <w:style w:type="paragraph" w:customStyle="1" w:styleId="xl103">
    <w:name w:val="xl103"/>
    <w:basedOn w:val="Normal"/>
    <w:rsid w:val="008775D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Calibri Light" w:eastAsia="Times New Roman" w:hAnsi="Calibri Light" w:cs="Times New Roman"/>
      <w:color w:val="1E3B59"/>
      <w:sz w:val="18"/>
      <w:szCs w:val="18"/>
      <w:lang w:val="es-EC" w:eastAsia="es-EC"/>
    </w:rPr>
  </w:style>
  <w:style w:type="paragraph" w:customStyle="1" w:styleId="xl104">
    <w:name w:val="xl104"/>
    <w:basedOn w:val="Normal"/>
    <w:rsid w:val="008775D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Calibri Light" w:eastAsia="Times New Roman" w:hAnsi="Calibri Light" w:cs="Times New Roman"/>
      <w:color w:val="203764"/>
      <w:sz w:val="18"/>
      <w:szCs w:val="18"/>
      <w:lang w:val="es-EC" w:eastAsia="es-EC"/>
    </w:rPr>
  </w:style>
  <w:style w:type="paragraph" w:customStyle="1" w:styleId="xl105">
    <w:name w:val="xl105"/>
    <w:basedOn w:val="Normal"/>
    <w:rsid w:val="008775DD"/>
    <w:pPr>
      <w:pBdr>
        <w:top w:val="single" w:sz="8" w:space="0" w:color="auto"/>
        <w:right w:val="single" w:sz="8" w:space="0" w:color="auto"/>
      </w:pBdr>
      <w:shd w:val="clear" w:color="000000" w:fill="4DB38C"/>
      <w:spacing w:before="100" w:beforeAutospacing="1" w:after="100" w:afterAutospacing="1" w:line="240" w:lineRule="auto"/>
      <w:jc w:val="left"/>
      <w:textAlignment w:val="center"/>
    </w:pPr>
    <w:rPr>
      <w:rFonts w:ascii="Calibri Light" w:eastAsia="Times New Roman" w:hAnsi="Calibri Light" w:cs="Times New Roman"/>
      <w:b/>
      <w:bCs/>
      <w:color w:val="FFFFFF"/>
      <w:szCs w:val="20"/>
      <w:lang w:val="es-EC" w:eastAsia="es-EC"/>
    </w:rPr>
  </w:style>
  <w:style w:type="paragraph" w:customStyle="1" w:styleId="xl106">
    <w:name w:val="xl106"/>
    <w:basedOn w:val="Normal"/>
    <w:rsid w:val="008775DD"/>
    <w:pPr>
      <w:pBdr>
        <w:top w:val="single" w:sz="8" w:space="0" w:color="auto"/>
        <w:bottom w:val="single" w:sz="8" w:space="0" w:color="auto"/>
      </w:pBdr>
      <w:shd w:val="clear" w:color="000000" w:fill="4DB38C"/>
      <w:spacing w:before="100" w:beforeAutospacing="1" w:after="100" w:afterAutospacing="1" w:line="240" w:lineRule="auto"/>
      <w:textAlignment w:val="center"/>
    </w:pPr>
    <w:rPr>
      <w:rFonts w:ascii="Times New Roman" w:eastAsia="Times New Roman" w:hAnsi="Times New Roman" w:cs="Times New Roman"/>
      <w:color w:val="000000"/>
      <w:sz w:val="24"/>
      <w:szCs w:val="24"/>
      <w:lang w:val="es-EC" w:eastAsia="es-EC"/>
    </w:rPr>
  </w:style>
  <w:style w:type="paragraph" w:customStyle="1" w:styleId="xl107">
    <w:name w:val="xl107"/>
    <w:basedOn w:val="Normal"/>
    <w:rsid w:val="008775DD"/>
    <w:pPr>
      <w:pBdr>
        <w:top w:val="single" w:sz="8" w:space="0" w:color="auto"/>
        <w:bottom w:val="single" w:sz="8" w:space="0" w:color="auto"/>
        <w:right w:val="single" w:sz="8" w:space="0" w:color="auto"/>
      </w:pBdr>
      <w:shd w:val="clear" w:color="000000" w:fill="4DB38C"/>
      <w:spacing w:before="100" w:beforeAutospacing="1" w:after="100" w:afterAutospacing="1" w:line="240" w:lineRule="auto"/>
      <w:textAlignment w:val="center"/>
    </w:pPr>
    <w:rPr>
      <w:rFonts w:ascii="Times New Roman" w:eastAsia="Times New Roman" w:hAnsi="Times New Roman" w:cs="Times New Roman"/>
      <w:color w:val="000000"/>
      <w:sz w:val="24"/>
      <w:szCs w:val="24"/>
      <w:lang w:val="es-EC" w:eastAsia="es-EC"/>
    </w:rPr>
  </w:style>
  <w:style w:type="paragraph" w:customStyle="1" w:styleId="xl108">
    <w:name w:val="xl108"/>
    <w:basedOn w:val="Normal"/>
    <w:rsid w:val="008775DD"/>
    <w:pPr>
      <w:pBdr>
        <w:top w:val="single" w:sz="8" w:space="0" w:color="auto"/>
        <w:bottom w:val="single" w:sz="4" w:space="0" w:color="auto"/>
        <w:right w:val="single" w:sz="4" w:space="0" w:color="auto"/>
      </w:pBdr>
      <w:shd w:val="clear" w:color="000000" w:fill="B4C6E7"/>
      <w:spacing w:before="100" w:beforeAutospacing="1" w:after="100" w:afterAutospacing="1" w:line="240" w:lineRule="auto"/>
      <w:textAlignment w:val="center"/>
    </w:pPr>
    <w:rPr>
      <w:rFonts w:ascii="Times New Roman" w:eastAsia="Times New Roman" w:hAnsi="Times New Roman" w:cs="Times New Roman"/>
      <w:color w:val="000000"/>
      <w:sz w:val="24"/>
      <w:szCs w:val="24"/>
      <w:lang w:val="es-EC" w:eastAsia="es-EC"/>
    </w:rPr>
  </w:style>
  <w:style w:type="paragraph" w:customStyle="1" w:styleId="xl109">
    <w:name w:val="xl109"/>
    <w:basedOn w:val="Normal"/>
    <w:rsid w:val="008775DD"/>
    <w:pPr>
      <w:pBdr>
        <w:left w:val="single" w:sz="4" w:space="0" w:color="auto"/>
        <w:bottom w:val="single" w:sz="4"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4"/>
      <w:szCs w:val="24"/>
      <w:lang w:val="es-EC" w:eastAsia="es-EC"/>
    </w:rPr>
  </w:style>
  <w:style w:type="paragraph" w:customStyle="1" w:styleId="xl110">
    <w:name w:val="xl110"/>
    <w:basedOn w:val="Normal"/>
    <w:rsid w:val="008775DD"/>
    <w:pPr>
      <w:pBdr>
        <w:top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4"/>
      <w:szCs w:val="24"/>
      <w:lang w:val="es-EC" w:eastAsia="es-EC"/>
    </w:rPr>
  </w:style>
  <w:style w:type="paragraph" w:customStyle="1" w:styleId="xl111">
    <w:name w:val="xl111"/>
    <w:basedOn w:val="Normal"/>
    <w:rsid w:val="008775DD"/>
    <w:pPr>
      <w:pBdr>
        <w:top w:val="single" w:sz="8" w:space="0" w:color="auto"/>
        <w:left w:val="single" w:sz="4" w:space="0" w:color="auto"/>
        <w:bottom w:val="single" w:sz="4" w:space="0" w:color="auto"/>
        <w:right w:val="single" w:sz="8" w:space="0" w:color="auto"/>
      </w:pBdr>
      <w:shd w:val="clear" w:color="000000" w:fill="B4C6E7"/>
      <w:spacing w:before="100" w:beforeAutospacing="1" w:after="100" w:afterAutospacing="1" w:line="240" w:lineRule="auto"/>
      <w:textAlignment w:val="center"/>
    </w:pPr>
    <w:rPr>
      <w:rFonts w:ascii="Times New Roman" w:eastAsia="Times New Roman" w:hAnsi="Times New Roman" w:cs="Times New Roman"/>
      <w:color w:val="000000"/>
      <w:sz w:val="24"/>
      <w:szCs w:val="24"/>
      <w:lang w:val="es-EC" w:eastAsia="es-EC"/>
    </w:rPr>
  </w:style>
  <w:style w:type="paragraph" w:customStyle="1" w:styleId="xl112">
    <w:name w:val="xl112"/>
    <w:basedOn w:val="Normal"/>
    <w:rsid w:val="008775DD"/>
    <w:pPr>
      <w:pBdr>
        <w:top w:val="single" w:sz="4" w:space="0" w:color="auto"/>
        <w:left w:val="single" w:sz="4" w:space="0" w:color="auto"/>
        <w:bottom w:val="single" w:sz="4" w:space="0" w:color="auto"/>
        <w:right w:val="single" w:sz="8" w:space="0" w:color="auto"/>
      </w:pBdr>
      <w:shd w:val="clear" w:color="000000" w:fill="B4C6E7"/>
      <w:spacing w:before="100" w:beforeAutospacing="1" w:after="100" w:afterAutospacing="1" w:line="240" w:lineRule="auto"/>
      <w:textAlignment w:val="center"/>
    </w:pPr>
    <w:rPr>
      <w:rFonts w:ascii="Times New Roman" w:eastAsia="Times New Roman" w:hAnsi="Times New Roman" w:cs="Times New Roman"/>
      <w:color w:val="000000"/>
      <w:sz w:val="24"/>
      <w:szCs w:val="24"/>
      <w:lang w:val="es-EC" w:eastAsia="es-EC"/>
    </w:rPr>
  </w:style>
  <w:style w:type="paragraph" w:customStyle="1" w:styleId="xl113">
    <w:name w:val="xl113"/>
    <w:basedOn w:val="Normal"/>
    <w:rsid w:val="008775DD"/>
    <w:pPr>
      <w:pBdr>
        <w:top w:val="single" w:sz="4" w:space="0" w:color="auto"/>
        <w:left w:val="single" w:sz="4" w:space="0" w:color="auto"/>
        <w:bottom w:val="single" w:sz="8" w:space="0" w:color="auto"/>
      </w:pBdr>
      <w:shd w:val="clear" w:color="000000" w:fill="203764"/>
      <w:spacing w:before="100" w:beforeAutospacing="1" w:after="100" w:afterAutospacing="1" w:line="240" w:lineRule="auto"/>
      <w:jc w:val="center"/>
      <w:textAlignment w:val="center"/>
    </w:pPr>
    <w:rPr>
      <w:rFonts w:ascii="Times New Roman" w:eastAsia="Times New Roman" w:hAnsi="Times New Roman" w:cs="Times New Roman"/>
      <w:b/>
      <w:bCs/>
      <w:color w:val="FFFFFF"/>
      <w:sz w:val="24"/>
      <w:szCs w:val="24"/>
      <w:lang w:val="es-EC" w:eastAsia="es-EC"/>
    </w:rPr>
  </w:style>
  <w:style w:type="paragraph" w:customStyle="1" w:styleId="xl114">
    <w:name w:val="xl114"/>
    <w:basedOn w:val="Normal"/>
    <w:rsid w:val="008775DD"/>
    <w:pPr>
      <w:pBdr>
        <w:top w:val="single" w:sz="4" w:space="0" w:color="auto"/>
        <w:bottom w:val="single" w:sz="8" w:space="0" w:color="auto"/>
      </w:pBdr>
      <w:shd w:val="clear" w:color="000000" w:fill="203764"/>
      <w:spacing w:before="100" w:beforeAutospacing="1" w:after="100" w:afterAutospacing="1" w:line="240" w:lineRule="auto"/>
      <w:jc w:val="center"/>
      <w:textAlignment w:val="center"/>
    </w:pPr>
    <w:rPr>
      <w:rFonts w:ascii="Times New Roman" w:eastAsia="Times New Roman" w:hAnsi="Times New Roman" w:cs="Times New Roman"/>
      <w:b/>
      <w:bCs/>
      <w:color w:val="FFFFFF"/>
      <w:sz w:val="24"/>
      <w:szCs w:val="24"/>
      <w:lang w:val="es-EC" w:eastAsia="es-EC"/>
    </w:rPr>
  </w:style>
  <w:style w:type="paragraph" w:customStyle="1" w:styleId="xl115">
    <w:name w:val="xl115"/>
    <w:basedOn w:val="Normal"/>
    <w:rsid w:val="008775DD"/>
    <w:pPr>
      <w:pBdr>
        <w:top w:val="single" w:sz="4" w:space="0" w:color="auto"/>
        <w:bottom w:val="single" w:sz="8" w:space="0" w:color="auto"/>
        <w:right w:val="single" w:sz="8" w:space="0" w:color="auto"/>
      </w:pBdr>
      <w:shd w:val="clear" w:color="000000" w:fill="203764"/>
      <w:spacing w:before="100" w:beforeAutospacing="1" w:after="100" w:afterAutospacing="1" w:line="240" w:lineRule="auto"/>
      <w:jc w:val="center"/>
      <w:textAlignment w:val="center"/>
    </w:pPr>
    <w:rPr>
      <w:rFonts w:ascii="Times New Roman" w:eastAsia="Times New Roman" w:hAnsi="Times New Roman" w:cs="Times New Roman"/>
      <w:b/>
      <w:bCs/>
      <w:color w:val="FFFFFF"/>
      <w:sz w:val="24"/>
      <w:szCs w:val="24"/>
      <w:lang w:val="es-EC" w:eastAsia="es-EC"/>
    </w:rPr>
  </w:style>
  <w:style w:type="paragraph" w:customStyle="1" w:styleId="xl116">
    <w:name w:val="xl116"/>
    <w:basedOn w:val="Normal"/>
    <w:rsid w:val="008775DD"/>
    <w:pPr>
      <w:pBdr>
        <w:top w:val="single" w:sz="4" w:space="0" w:color="auto"/>
        <w:bottom w:val="single" w:sz="8" w:space="0" w:color="auto"/>
      </w:pBdr>
      <w:shd w:val="clear" w:color="000000" w:fill="203764"/>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val="es-EC" w:eastAsia="es-EC"/>
    </w:rPr>
  </w:style>
  <w:style w:type="paragraph" w:customStyle="1" w:styleId="xl117">
    <w:name w:val="xl117"/>
    <w:basedOn w:val="Normal"/>
    <w:rsid w:val="008775DD"/>
    <w:pPr>
      <w:pBdr>
        <w:top w:val="single" w:sz="4" w:space="0" w:color="auto"/>
        <w:bottom w:val="single" w:sz="8" w:space="0" w:color="auto"/>
        <w:right w:val="single" w:sz="4" w:space="0" w:color="auto"/>
      </w:pBdr>
      <w:shd w:val="clear" w:color="000000" w:fill="203764"/>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val="es-EC" w:eastAsia="es-EC"/>
    </w:rPr>
  </w:style>
  <w:style w:type="paragraph" w:customStyle="1" w:styleId="xl118">
    <w:name w:val="xl118"/>
    <w:basedOn w:val="Normal"/>
    <w:rsid w:val="008775DD"/>
    <w:pPr>
      <w:pBdr>
        <w:right w:val="single" w:sz="8" w:space="0" w:color="auto"/>
      </w:pBdr>
      <w:shd w:val="clear" w:color="000000" w:fill="203764"/>
      <w:spacing w:before="100" w:beforeAutospacing="1" w:after="100" w:afterAutospacing="1" w:line="240" w:lineRule="auto"/>
      <w:jc w:val="center"/>
      <w:textAlignment w:val="center"/>
    </w:pPr>
    <w:rPr>
      <w:rFonts w:ascii="Times New Roman" w:eastAsia="Times New Roman" w:hAnsi="Times New Roman" w:cs="Times New Roman"/>
      <w:b/>
      <w:bCs/>
      <w:color w:val="FFFFFF"/>
      <w:sz w:val="24"/>
      <w:szCs w:val="24"/>
      <w:lang w:val="es-EC" w:eastAsia="es-EC"/>
    </w:rPr>
  </w:style>
  <w:style w:type="paragraph" w:customStyle="1" w:styleId="xl119">
    <w:name w:val="xl119"/>
    <w:basedOn w:val="Normal"/>
    <w:rsid w:val="008775DD"/>
    <w:pPr>
      <w:pBdr>
        <w:top w:val="single" w:sz="8"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Light" w:eastAsia="Times New Roman" w:hAnsi="Calibri Light" w:cs="Times New Roman"/>
      <w:color w:val="1E3B59"/>
      <w:sz w:val="18"/>
      <w:szCs w:val="18"/>
      <w:lang w:val="es-EC" w:eastAsia="es-EC"/>
    </w:rPr>
  </w:style>
  <w:style w:type="paragraph" w:customStyle="1" w:styleId="xl120">
    <w:name w:val="xl120"/>
    <w:basedOn w:val="Normal"/>
    <w:rsid w:val="008775DD"/>
    <w:pPr>
      <w:pBdr>
        <w:top w:val="single" w:sz="4" w:space="0" w:color="auto"/>
        <w:left w:val="single" w:sz="4" w:space="0" w:color="auto"/>
        <w:bottom w:val="single" w:sz="8" w:space="0" w:color="auto"/>
        <w:right w:val="single" w:sz="4" w:space="0" w:color="auto"/>
      </w:pBdr>
      <w:shd w:val="clear" w:color="000000" w:fill="203764"/>
      <w:spacing w:before="100" w:beforeAutospacing="1" w:after="100" w:afterAutospacing="1" w:line="240" w:lineRule="auto"/>
      <w:jc w:val="left"/>
      <w:textAlignment w:val="center"/>
    </w:pPr>
    <w:rPr>
      <w:rFonts w:ascii="Calibri Light" w:eastAsia="Times New Roman" w:hAnsi="Calibri Light" w:cs="Times New Roman"/>
      <w:b/>
      <w:bCs/>
      <w:color w:val="FFFFFF"/>
      <w:sz w:val="18"/>
      <w:szCs w:val="18"/>
      <w:lang w:val="es-EC" w:eastAsia="es-EC"/>
    </w:rPr>
  </w:style>
  <w:style w:type="paragraph" w:customStyle="1" w:styleId="xl121">
    <w:name w:val="xl121"/>
    <w:basedOn w:val="Normal"/>
    <w:rsid w:val="008775DD"/>
    <w:pPr>
      <w:pBdr>
        <w:top w:val="single" w:sz="4" w:space="0" w:color="auto"/>
        <w:left w:val="single" w:sz="4" w:space="0" w:color="auto"/>
        <w:bottom w:val="single" w:sz="8" w:space="0" w:color="auto"/>
        <w:right w:val="single" w:sz="4" w:space="0" w:color="auto"/>
      </w:pBdr>
      <w:shd w:val="clear" w:color="000000" w:fill="203764"/>
      <w:spacing w:before="100" w:beforeAutospacing="1" w:after="100" w:afterAutospacing="1" w:line="240" w:lineRule="auto"/>
      <w:jc w:val="center"/>
      <w:textAlignment w:val="center"/>
    </w:pPr>
    <w:rPr>
      <w:rFonts w:ascii="Calibri Light" w:eastAsia="Times New Roman" w:hAnsi="Calibri Light" w:cs="Times New Roman"/>
      <w:b/>
      <w:bCs/>
      <w:color w:val="FFFFFF"/>
      <w:sz w:val="18"/>
      <w:szCs w:val="18"/>
      <w:lang w:val="es-EC" w:eastAsia="es-EC"/>
    </w:rPr>
  </w:style>
  <w:style w:type="paragraph" w:customStyle="1" w:styleId="xl122">
    <w:name w:val="xl122"/>
    <w:basedOn w:val="Normal"/>
    <w:rsid w:val="008775DD"/>
    <w:pPr>
      <w:pBdr>
        <w:top w:val="single" w:sz="4" w:space="0" w:color="auto"/>
        <w:bottom w:val="single" w:sz="8"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FFFFFF"/>
      <w:sz w:val="24"/>
      <w:szCs w:val="24"/>
      <w:lang w:val="es-EC" w:eastAsia="es-EC"/>
    </w:rPr>
  </w:style>
  <w:style w:type="paragraph" w:customStyle="1" w:styleId="xl123">
    <w:name w:val="xl123"/>
    <w:basedOn w:val="Normal"/>
    <w:rsid w:val="008775DD"/>
    <w:pPr>
      <w:pBdr>
        <w:top w:val="single" w:sz="4" w:space="0" w:color="auto"/>
        <w:bottom w:val="single" w:sz="4" w:space="0" w:color="auto"/>
        <w:right w:val="single" w:sz="4" w:space="0" w:color="auto"/>
      </w:pBdr>
      <w:shd w:val="clear" w:color="000000" w:fill="B4C6E7"/>
      <w:spacing w:before="100" w:beforeAutospacing="1" w:after="100" w:afterAutospacing="1" w:line="240" w:lineRule="auto"/>
      <w:textAlignment w:val="center"/>
    </w:pPr>
    <w:rPr>
      <w:rFonts w:ascii="Times New Roman" w:eastAsia="Times New Roman" w:hAnsi="Times New Roman" w:cs="Times New Roman"/>
      <w:color w:val="000000"/>
      <w:sz w:val="24"/>
      <w:szCs w:val="24"/>
      <w:lang w:val="es-EC" w:eastAsia="es-EC"/>
    </w:rPr>
  </w:style>
  <w:style w:type="paragraph" w:customStyle="1" w:styleId="xl124">
    <w:name w:val="xl124"/>
    <w:basedOn w:val="Normal"/>
    <w:rsid w:val="008775DD"/>
    <w:pPr>
      <w:pBdr>
        <w:top w:val="single" w:sz="4" w:space="0" w:color="auto"/>
        <w:left w:val="single" w:sz="4"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4"/>
      <w:szCs w:val="24"/>
      <w:lang w:val="es-EC" w:eastAsia="es-EC"/>
    </w:rPr>
  </w:style>
  <w:style w:type="paragraph" w:customStyle="1" w:styleId="xl125">
    <w:name w:val="xl125"/>
    <w:basedOn w:val="Normal"/>
    <w:rsid w:val="008775DD"/>
    <w:pPr>
      <w:pBdr>
        <w:top w:val="single" w:sz="8"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Light" w:eastAsia="Times New Roman" w:hAnsi="Calibri Light" w:cs="Times New Roman"/>
      <w:color w:val="203764"/>
      <w:sz w:val="18"/>
      <w:szCs w:val="18"/>
      <w:lang w:val="es-EC" w:eastAsia="es-EC"/>
    </w:rPr>
  </w:style>
  <w:style w:type="paragraph" w:customStyle="1" w:styleId="xl126">
    <w:name w:val="xl126"/>
    <w:basedOn w:val="Normal"/>
    <w:rsid w:val="008775DD"/>
    <w:pPr>
      <w:pBdr>
        <w:top w:val="single" w:sz="8" w:space="0" w:color="auto"/>
        <w:left w:val="single" w:sz="4" w:space="0" w:color="auto"/>
        <w:bottom w:val="single" w:sz="8" w:space="0" w:color="auto"/>
        <w:right w:val="single" w:sz="4" w:space="0" w:color="auto"/>
      </w:pBdr>
      <w:shd w:val="clear" w:color="000000" w:fill="4DB38C"/>
      <w:spacing w:before="100" w:beforeAutospacing="1" w:after="100" w:afterAutospacing="1" w:line="240" w:lineRule="auto"/>
      <w:jc w:val="left"/>
      <w:textAlignment w:val="center"/>
    </w:pPr>
    <w:rPr>
      <w:rFonts w:ascii="Calibri Light" w:eastAsia="Times New Roman" w:hAnsi="Calibri Light" w:cs="Times New Roman"/>
      <w:b/>
      <w:bCs/>
      <w:color w:val="FFFFFF"/>
      <w:sz w:val="18"/>
      <w:szCs w:val="18"/>
      <w:lang w:val="es-EC" w:eastAsia="es-EC"/>
    </w:rPr>
  </w:style>
  <w:style w:type="paragraph" w:customStyle="1" w:styleId="xl127">
    <w:name w:val="xl127"/>
    <w:basedOn w:val="Normal"/>
    <w:rsid w:val="008775DD"/>
    <w:pPr>
      <w:pBdr>
        <w:top w:val="single" w:sz="4" w:space="0" w:color="auto"/>
        <w:left w:val="single" w:sz="4" w:space="0" w:color="auto"/>
        <w:right w:val="single" w:sz="4" w:space="0" w:color="auto"/>
      </w:pBdr>
      <w:shd w:val="clear" w:color="000000" w:fill="203764"/>
      <w:spacing w:before="100" w:beforeAutospacing="1" w:after="100" w:afterAutospacing="1" w:line="240" w:lineRule="auto"/>
      <w:jc w:val="left"/>
      <w:textAlignment w:val="center"/>
    </w:pPr>
    <w:rPr>
      <w:rFonts w:ascii="Calibri Light" w:eastAsia="Times New Roman" w:hAnsi="Calibri Light" w:cs="Times New Roman"/>
      <w:b/>
      <w:bCs/>
      <w:color w:val="FFFFFF"/>
      <w:sz w:val="18"/>
      <w:szCs w:val="18"/>
      <w:lang w:val="es-EC" w:eastAsia="es-EC"/>
    </w:rPr>
  </w:style>
  <w:style w:type="paragraph" w:customStyle="1" w:styleId="xl128">
    <w:name w:val="xl128"/>
    <w:basedOn w:val="Normal"/>
    <w:rsid w:val="008775DD"/>
    <w:pPr>
      <w:pBdr>
        <w:top w:val="single" w:sz="4" w:space="0" w:color="auto"/>
        <w:right w:val="single" w:sz="4" w:space="0" w:color="auto"/>
      </w:pBdr>
      <w:shd w:val="clear" w:color="000000" w:fill="203764"/>
      <w:spacing w:before="100" w:beforeAutospacing="1" w:after="100" w:afterAutospacing="1" w:line="240" w:lineRule="auto"/>
      <w:jc w:val="center"/>
      <w:textAlignment w:val="center"/>
    </w:pPr>
    <w:rPr>
      <w:rFonts w:ascii="Calibri Light" w:eastAsia="Times New Roman" w:hAnsi="Calibri Light" w:cs="Times New Roman"/>
      <w:b/>
      <w:bCs/>
      <w:color w:val="FFFFFF"/>
      <w:sz w:val="18"/>
      <w:szCs w:val="18"/>
      <w:lang w:val="es-EC" w:eastAsia="es-EC"/>
    </w:rPr>
  </w:style>
  <w:style w:type="paragraph" w:customStyle="1" w:styleId="xl129">
    <w:name w:val="xl129"/>
    <w:basedOn w:val="Normal"/>
    <w:rsid w:val="008775DD"/>
    <w:pPr>
      <w:pBdr>
        <w:top w:val="single" w:sz="4" w:space="0" w:color="auto"/>
        <w:left w:val="single" w:sz="8" w:space="0" w:color="auto"/>
        <w:bottom w:val="single" w:sz="8" w:space="0" w:color="auto"/>
        <w:right w:val="single" w:sz="4" w:space="0" w:color="auto"/>
      </w:pBdr>
      <w:shd w:val="clear" w:color="000000" w:fill="203764"/>
      <w:spacing w:before="100" w:beforeAutospacing="1" w:after="100" w:afterAutospacing="1" w:line="240" w:lineRule="auto"/>
      <w:jc w:val="center"/>
      <w:textAlignment w:val="center"/>
    </w:pPr>
    <w:rPr>
      <w:rFonts w:ascii="Calibri Light" w:eastAsia="Times New Roman" w:hAnsi="Calibri Light" w:cs="Times New Roman"/>
      <w:b/>
      <w:bCs/>
      <w:color w:val="FFFFFF"/>
      <w:sz w:val="18"/>
      <w:szCs w:val="18"/>
      <w:lang w:val="es-EC" w:eastAsia="es-EC"/>
    </w:rPr>
  </w:style>
  <w:style w:type="paragraph" w:customStyle="1" w:styleId="xl130">
    <w:name w:val="xl130"/>
    <w:basedOn w:val="Normal"/>
    <w:rsid w:val="008775DD"/>
    <w:pPr>
      <w:shd w:val="clear" w:color="000000" w:fill="4DB38C"/>
      <w:spacing w:before="100" w:beforeAutospacing="1" w:after="100" w:afterAutospacing="1" w:line="240" w:lineRule="auto"/>
      <w:jc w:val="center"/>
      <w:textAlignment w:val="center"/>
    </w:pPr>
    <w:rPr>
      <w:rFonts w:ascii="Times New Roman" w:eastAsia="Times New Roman" w:hAnsi="Times New Roman" w:cs="Times New Roman"/>
      <w:b/>
      <w:bCs/>
      <w:color w:val="FFFFFF"/>
      <w:sz w:val="24"/>
      <w:szCs w:val="24"/>
      <w:lang w:val="es-EC" w:eastAsia="es-EC"/>
    </w:rPr>
  </w:style>
  <w:style w:type="paragraph" w:customStyle="1" w:styleId="xl131">
    <w:name w:val="xl131"/>
    <w:basedOn w:val="Normal"/>
    <w:rsid w:val="008775D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Light" w:eastAsia="Times New Roman" w:hAnsi="Calibri Light" w:cs="Times New Roman"/>
      <w:color w:val="1E3B59"/>
      <w:sz w:val="18"/>
      <w:szCs w:val="18"/>
      <w:lang w:val="es-EC" w:eastAsia="es-EC"/>
    </w:rPr>
  </w:style>
  <w:style w:type="paragraph" w:customStyle="1" w:styleId="xl132">
    <w:name w:val="xl132"/>
    <w:basedOn w:val="Normal"/>
    <w:rsid w:val="008775DD"/>
    <w:pPr>
      <w:pBdr>
        <w:top w:val="single" w:sz="4" w:space="0" w:color="auto"/>
        <w:left w:val="single" w:sz="4" w:space="0" w:color="auto"/>
        <w:right w:val="single" w:sz="4" w:space="0" w:color="auto"/>
      </w:pBdr>
      <w:shd w:val="clear" w:color="000000" w:fill="203764"/>
      <w:spacing w:before="100" w:beforeAutospacing="1" w:after="100" w:afterAutospacing="1" w:line="240" w:lineRule="auto"/>
      <w:jc w:val="center"/>
      <w:textAlignment w:val="center"/>
    </w:pPr>
    <w:rPr>
      <w:rFonts w:ascii="Calibri Light" w:eastAsia="Times New Roman" w:hAnsi="Calibri Light" w:cs="Times New Roman"/>
      <w:b/>
      <w:bCs/>
      <w:color w:val="FFFFFF"/>
      <w:sz w:val="18"/>
      <w:szCs w:val="18"/>
      <w:lang w:val="es-EC" w:eastAsia="es-EC"/>
    </w:rPr>
  </w:style>
  <w:style w:type="paragraph" w:customStyle="1" w:styleId="xl133">
    <w:name w:val="xl133"/>
    <w:basedOn w:val="Normal"/>
    <w:rsid w:val="008775DD"/>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Calibri Light" w:eastAsia="Times New Roman" w:hAnsi="Calibri Light" w:cs="Times New Roman"/>
      <w:color w:val="203764"/>
      <w:sz w:val="18"/>
      <w:szCs w:val="18"/>
      <w:lang w:val="es-EC" w:eastAsia="es-EC"/>
    </w:rPr>
  </w:style>
  <w:style w:type="paragraph" w:customStyle="1" w:styleId="xl134">
    <w:name w:val="xl134"/>
    <w:basedOn w:val="Normal"/>
    <w:rsid w:val="008775DD"/>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Calibri Light" w:eastAsia="Times New Roman" w:hAnsi="Calibri Light" w:cs="Times New Roman"/>
      <w:color w:val="203764"/>
      <w:sz w:val="18"/>
      <w:szCs w:val="18"/>
      <w:lang w:val="es-EC" w:eastAsia="es-EC"/>
    </w:rPr>
  </w:style>
  <w:style w:type="paragraph" w:customStyle="1" w:styleId="xl135">
    <w:name w:val="xl135"/>
    <w:basedOn w:val="Normal"/>
    <w:rsid w:val="008775DD"/>
    <w:pPr>
      <w:pBdr>
        <w:top w:val="single" w:sz="8" w:space="0" w:color="auto"/>
        <w:left w:val="single" w:sz="8" w:space="0" w:color="auto"/>
        <w:bottom w:val="single" w:sz="8" w:space="0" w:color="auto"/>
        <w:right w:val="single" w:sz="4" w:space="0" w:color="auto"/>
      </w:pBdr>
      <w:shd w:val="clear" w:color="000000" w:fill="4DB38C"/>
      <w:spacing w:before="100" w:beforeAutospacing="1" w:after="100" w:afterAutospacing="1" w:line="240" w:lineRule="auto"/>
      <w:jc w:val="center"/>
      <w:textAlignment w:val="center"/>
    </w:pPr>
    <w:rPr>
      <w:rFonts w:ascii="Calibri Light" w:eastAsia="Times New Roman" w:hAnsi="Calibri Light" w:cs="Times New Roman"/>
      <w:b/>
      <w:bCs/>
      <w:color w:val="FFFFFF"/>
      <w:sz w:val="18"/>
      <w:szCs w:val="18"/>
      <w:lang w:val="es-EC" w:eastAsia="es-EC"/>
    </w:rPr>
  </w:style>
  <w:style w:type="paragraph" w:customStyle="1" w:styleId="xl136">
    <w:name w:val="xl136"/>
    <w:basedOn w:val="Normal"/>
    <w:rsid w:val="008775DD"/>
    <w:pPr>
      <w:spacing w:before="100" w:beforeAutospacing="1" w:after="100" w:afterAutospacing="1" w:line="240" w:lineRule="auto"/>
      <w:jc w:val="center"/>
      <w:textAlignment w:val="center"/>
    </w:pPr>
    <w:rPr>
      <w:rFonts w:ascii="Times New Roman" w:eastAsia="Times New Roman" w:hAnsi="Times New Roman" w:cs="Times New Roman"/>
      <w:color w:val="auto"/>
      <w:sz w:val="24"/>
      <w:szCs w:val="24"/>
      <w:lang w:val="es-EC" w:eastAsia="es-EC"/>
    </w:rPr>
  </w:style>
  <w:style w:type="table" w:customStyle="1" w:styleId="Tablaconcuadrcula5oscura-nfasis323">
    <w:name w:val="Tabla con cuadrícula 5 oscura - Énfasis 323"/>
    <w:basedOn w:val="Tablanormal"/>
    <w:next w:val="Tablaconcuadrcula5oscura-nfasis3"/>
    <w:uiPriority w:val="50"/>
    <w:rsid w:val="008775DD"/>
    <w:pPr>
      <w:spacing w:after="0" w:line="240" w:lineRule="auto"/>
    </w:pPr>
    <w:rPr>
      <w:rFonts w:eastAsiaTheme="minorHAns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customStyle="1" w:styleId="MediumGrid2-Accent3211">
    <w:name w:val="Medium Grid 2 - Accent 3211"/>
    <w:basedOn w:val="Tablanormal"/>
    <w:uiPriority w:val="68"/>
    <w:rsid w:val="008775DD"/>
    <w:pPr>
      <w:spacing w:after="0" w:line="240" w:lineRule="auto"/>
    </w:pPr>
    <w:rPr>
      <w:rFonts w:ascii="Cambria" w:eastAsia="Times New Roman" w:hAnsi="Cambria" w:cs="Times New Roman"/>
      <w:color w:val="000000"/>
      <w:lang w:bidi="th-TH"/>
    </w:rPr>
    <w:tblPr>
      <w:tblStyleRowBandSize w:val="1"/>
      <w:tblStyleColBandSize w:val="1"/>
      <w:tblInd w:w="0" w:type="nil"/>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cPr>
      <w:shd w:val="clear" w:color="auto" w:fill="E6EED5"/>
    </w:tcPr>
    <w:tblStylePr w:type="firstRow">
      <w:rPr>
        <w:b/>
        <w:bCs/>
        <w:color w:val="000000"/>
      </w:rPr>
      <w:tblPr/>
      <w:tcPr>
        <w:shd w:val="clear" w:color="auto" w:fill="F5F8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AF1DD"/>
      </w:tcPr>
    </w:tblStylePr>
    <w:tblStylePr w:type="band1Vert">
      <w:tblPr/>
      <w:tcPr>
        <w:shd w:val="clear" w:color="auto" w:fill="CDDDAC"/>
      </w:tcPr>
    </w:tblStylePr>
  </w:style>
  <w:style w:type="table" w:customStyle="1" w:styleId="Tablaconcuadrcula11">
    <w:name w:val="Tabla con cuadrícula11"/>
    <w:basedOn w:val="Tablanormal"/>
    <w:next w:val="Tablaconcuadrcula"/>
    <w:uiPriority w:val="39"/>
    <w:rsid w:val="008775DD"/>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
    <w:name w:val="Tabla con cuadrícula3"/>
    <w:basedOn w:val="Tablanormal"/>
    <w:next w:val="Tablaconcuadrcula"/>
    <w:uiPriority w:val="39"/>
    <w:rsid w:val="008775DD"/>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1">
    <w:name w:val="Table Normal21"/>
    <w:uiPriority w:val="2"/>
    <w:semiHidden/>
    <w:unhideWhenUsed/>
    <w:qFormat/>
    <w:rsid w:val="008775DD"/>
    <w:pPr>
      <w:widowControl w:val="0"/>
      <w:autoSpaceDE w:val="0"/>
      <w:autoSpaceDN w:val="0"/>
      <w:spacing w:after="0" w:line="240" w:lineRule="auto"/>
    </w:pPr>
    <w:rPr>
      <w:rFonts w:eastAsiaTheme="minorHAnsi"/>
      <w:lang w:val="en-US"/>
    </w:rPr>
    <w:tblPr>
      <w:tblInd w:w="0" w:type="dxa"/>
      <w:tblCellMar>
        <w:top w:w="0" w:type="dxa"/>
        <w:left w:w="0" w:type="dxa"/>
        <w:bottom w:w="0" w:type="dxa"/>
        <w:right w:w="0" w:type="dxa"/>
      </w:tblCellMar>
    </w:tblPr>
  </w:style>
  <w:style w:type="table" w:customStyle="1" w:styleId="Deuman-Box1">
    <w:name w:val="Deuman - Box1"/>
    <w:basedOn w:val="Tablanormal"/>
    <w:next w:val="Tablaconcuadrcula"/>
    <w:uiPriority w:val="39"/>
    <w:rsid w:val="008775DD"/>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Deuman-Box2">
    <w:name w:val="Deuman - Box2"/>
    <w:basedOn w:val="Tablanormal"/>
    <w:next w:val="Tablaconcuadrcula"/>
    <w:uiPriority w:val="39"/>
    <w:rsid w:val="008775DD"/>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Deuman-Box3">
    <w:name w:val="Deuman - Box3"/>
    <w:basedOn w:val="Tablanormal"/>
    <w:next w:val="Tablaconcuadrcula"/>
    <w:uiPriority w:val="39"/>
    <w:rsid w:val="008775DD"/>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Deuman-Box4">
    <w:name w:val="Deuman - Box4"/>
    <w:basedOn w:val="Tablanormal"/>
    <w:next w:val="Tablaconcuadrcula"/>
    <w:uiPriority w:val="39"/>
    <w:rsid w:val="008775DD"/>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Deuman-Box6">
    <w:name w:val="Deuman - Box6"/>
    <w:basedOn w:val="Tablanormal"/>
    <w:next w:val="Tablaconcuadrcula"/>
    <w:uiPriority w:val="39"/>
    <w:rsid w:val="008775DD"/>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Deuman-Box7">
    <w:name w:val="Deuman - Box7"/>
    <w:basedOn w:val="Tablanormal"/>
    <w:next w:val="Tablaconcuadrcula"/>
    <w:uiPriority w:val="39"/>
    <w:rsid w:val="008775DD"/>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normal311">
    <w:name w:val="Tabla normal 311"/>
    <w:basedOn w:val="Tablanormal"/>
    <w:uiPriority w:val="43"/>
    <w:rsid w:val="008775DD"/>
    <w:pPr>
      <w:spacing w:after="0" w:line="240" w:lineRule="auto"/>
    </w:pPr>
    <w:rPr>
      <w:rFonts w:eastAsiaTheme="minorHAnsi"/>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Deuman-Box8">
    <w:name w:val="Deuman - Box8"/>
    <w:basedOn w:val="Tablanormal"/>
    <w:next w:val="Tablaconcuadrcula"/>
    <w:uiPriority w:val="39"/>
    <w:rsid w:val="008775DD"/>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normal312">
    <w:name w:val="Tabla normal 312"/>
    <w:basedOn w:val="Tablanormal"/>
    <w:uiPriority w:val="43"/>
    <w:rsid w:val="008775DD"/>
    <w:pPr>
      <w:spacing w:after="0" w:line="240" w:lineRule="auto"/>
    </w:pPr>
    <w:rPr>
      <w:rFonts w:eastAsiaTheme="minorHAnsi"/>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Tablaconcuadrcula1clara4">
    <w:name w:val="Tabla con cuadrícula 1 clara4"/>
    <w:basedOn w:val="Tablanormal"/>
    <w:next w:val="Tablaconcuadrcula1clara"/>
    <w:uiPriority w:val="46"/>
    <w:rsid w:val="008775DD"/>
    <w:pPr>
      <w:spacing w:after="0" w:line="240" w:lineRule="auto"/>
    </w:pPr>
    <w:rPr>
      <w:rFonts w:eastAsiaTheme="minorHAnsi"/>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31">
    <w:name w:val="31"/>
    <w:basedOn w:val="Tablanormal"/>
    <w:rsid w:val="008775DD"/>
    <w:pPr>
      <w:spacing w:after="0" w:line="240" w:lineRule="auto"/>
      <w:ind w:left="284"/>
    </w:pPr>
    <w:rPr>
      <w:rFonts w:ascii="Calibri" w:eastAsia="Calibri" w:hAnsi="Calibri" w:cs="Calibri"/>
      <w:color w:val="575756"/>
      <w:sz w:val="18"/>
      <w:szCs w:val="18"/>
      <w:lang w:val="en-GB" w:eastAsia="en-GB"/>
    </w:rPr>
    <w:tblPr>
      <w:tblStyleRowBandSize w:val="1"/>
      <w:tblStyleColBandSize w:val="1"/>
      <w:tblInd w:w="0" w:type="nil"/>
    </w:tblPr>
    <w:tblStylePr w:type="firstRow">
      <w:rPr>
        <w:b/>
      </w:rPr>
      <w:tblPr/>
      <w:tcPr>
        <w:tcBorders>
          <w:top w:val="nil"/>
          <w:left w:val="nil"/>
          <w:bottom w:val="single" w:sz="18" w:space="0" w:color="EB5A64"/>
          <w:right w:val="nil"/>
          <w:insideH w:val="nil"/>
          <w:insideV w:val="nil"/>
        </w:tcBorders>
        <w:shd w:val="clear" w:color="auto" w:fill="FFFFFF"/>
      </w:tcPr>
    </w:tblStylePr>
    <w:tblStylePr w:type="lastRow">
      <w:rPr>
        <w:b/>
      </w:rPr>
      <w:tblPr/>
      <w:tcPr>
        <w:tcBorders>
          <w:top w:val="single" w:sz="4" w:space="0" w:color="EB5A64"/>
          <w:bottom w:val="nil"/>
          <w:insideH w:val="nil"/>
          <w:insideV w:val="nil"/>
        </w:tcBorders>
        <w:shd w:val="clear" w:color="auto" w:fill="FFFFFF"/>
      </w:tcPr>
    </w:tblStylePr>
    <w:tblStylePr w:type="firstCol">
      <w:rPr>
        <w:b/>
      </w:rPr>
    </w:tblStylePr>
    <w:tblStylePr w:type="lastCol">
      <w:rPr>
        <w:b/>
      </w:rPr>
    </w:tblStylePr>
    <w:tblStylePr w:type="band1Vert">
      <w:tblPr/>
      <w:tcPr>
        <w:shd w:val="clear" w:color="auto" w:fill="F8C8CB"/>
      </w:tcPr>
    </w:tblStylePr>
    <w:tblStylePr w:type="band1Horz">
      <w:tblPr/>
      <w:tcPr>
        <w:shd w:val="clear" w:color="auto" w:fill="F8C8CB"/>
      </w:tcPr>
    </w:tblStylePr>
  </w:style>
  <w:style w:type="table" w:customStyle="1" w:styleId="Deuman-Box9">
    <w:name w:val="Deuman - Box9"/>
    <w:basedOn w:val="Tablanormal"/>
    <w:next w:val="Tablaconcuadrcula"/>
    <w:uiPriority w:val="39"/>
    <w:rsid w:val="008775DD"/>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5GlobalFactor">
    <w:name w:val="5_Global Factor"/>
    <w:basedOn w:val="Normal"/>
    <w:link w:val="5GlobalFactorCar"/>
    <w:qFormat/>
    <w:rsid w:val="00684572"/>
    <w:pPr>
      <w:spacing w:line="360" w:lineRule="auto"/>
    </w:pPr>
    <w:rPr>
      <w:szCs w:val="20"/>
    </w:rPr>
  </w:style>
  <w:style w:type="character" w:customStyle="1" w:styleId="5GlobalFactorCar">
    <w:name w:val="5_Global Factor Car"/>
    <w:basedOn w:val="Fuentedeprrafopredeter"/>
    <w:link w:val="5GlobalFactor"/>
    <w:rsid w:val="00684572"/>
    <w:rPr>
      <w:rFonts w:asciiTheme="majorHAnsi" w:hAnsiTheme="majorHAnsi"/>
      <w:color w:val="1D3C5A"/>
      <w:sz w:val="20"/>
      <w:szCs w:val="20"/>
    </w:rPr>
  </w:style>
  <w:style w:type="paragraph" w:customStyle="1" w:styleId="6Textobold">
    <w:name w:val="6_Texto bold"/>
    <w:basedOn w:val="Normal"/>
    <w:link w:val="6TextoboldCar"/>
    <w:qFormat/>
    <w:rsid w:val="00BF6828"/>
    <w:rPr>
      <w:rFonts w:cstheme="majorHAnsi"/>
      <w:b/>
      <w:bCs/>
      <w:szCs w:val="20"/>
      <w:lang w:eastAsia="zh-CN"/>
    </w:rPr>
  </w:style>
  <w:style w:type="character" w:customStyle="1" w:styleId="6TextoboldCar">
    <w:name w:val="6_Texto bold Car"/>
    <w:basedOn w:val="Fuentedeprrafopredeter"/>
    <w:link w:val="6Textobold"/>
    <w:rsid w:val="00BF6828"/>
    <w:rPr>
      <w:rFonts w:asciiTheme="majorHAnsi" w:hAnsiTheme="majorHAnsi" w:cstheme="majorHAnsi"/>
      <w:b/>
      <w:bCs/>
      <w:color w:val="1D3C5A"/>
      <w:sz w:val="20"/>
      <w:szCs w:val="20"/>
      <w:lang w:eastAsia="zh-CN"/>
    </w:rPr>
  </w:style>
  <w:style w:type="paragraph" w:customStyle="1" w:styleId="Piedepgina0">
    <w:name w:val="Pie_de_página"/>
    <w:basedOn w:val="Normal"/>
    <w:link w:val="PiedepginaCar0"/>
    <w:qFormat/>
    <w:rsid w:val="005A1208"/>
    <w:pPr>
      <w:spacing w:after="0"/>
    </w:pPr>
    <w:rPr>
      <w:rFonts w:cstheme="majorHAnsi"/>
      <w:color w:val="4F657D"/>
      <w:sz w:val="14"/>
      <w:szCs w:val="14"/>
      <w:lang w:eastAsia="zh-CN"/>
    </w:rPr>
  </w:style>
  <w:style w:type="character" w:customStyle="1" w:styleId="PiedepginaCar0">
    <w:name w:val="Pie_de_página Car"/>
    <w:basedOn w:val="Fuentedeprrafopredeter"/>
    <w:link w:val="Piedepgina0"/>
    <w:rsid w:val="005A1208"/>
    <w:rPr>
      <w:rFonts w:asciiTheme="majorHAnsi" w:hAnsiTheme="majorHAnsi" w:cstheme="majorHAnsi"/>
      <w:color w:val="4F657D"/>
      <w:sz w:val="14"/>
      <w:szCs w:val="14"/>
      <w:lang w:eastAsia="zh-CN"/>
    </w:rPr>
  </w:style>
  <w:style w:type="paragraph" w:customStyle="1" w:styleId="8Ndepagina">
    <w:name w:val="8_Nº de pagina"/>
    <w:basedOn w:val="Normal"/>
    <w:link w:val="8NdepaginaCar"/>
    <w:qFormat/>
    <w:rsid w:val="0030526F"/>
    <w:pPr>
      <w:tabs>
        <w:tab w:val="center" w:pos="4550"/>
        <w:tab w:val="left" w:pos="5818"/>
      </w:tabs>
      <w:ind w:right="260"/>
    </w:pPr>
    <w:rPr>
      <w:spacing w:val="60"/>
      <w:sz w:val="24"/>
      <w:szCs w:val="24"/>
    </w:rPr>
  </w:style>
  <w:style w:type="character" w:customStyle="1" w:styleId="8NdepaginaCar">
    <w:name w:val="8_Nº de pagina Car"/>
    <w:basedOn w:val="Fuentedeprrafopredeter"/>
    <w:link w:val="8Ndepagina"/>
    <w:rsid w:val="0030526F"/>
    <w:rPr>
      <w:rFonts w:asciiTheme="majorHAnsi" w:hAnsiTheme="majorHAnsi"/>
      <w:color w:val="1D3C5A"/>
      <w:spacing w:val="60"/>
      <w:sz w:val="24"/>
      <w:szCs w:val="24"/>
    </w:rPr>
  </w:style>
  <w:style w:type="paragraph" w:customStyle="1" w:styleId="9Textoinfografas">
    <w:name w:val="9_Texto infografías"/>
    <w:basedOn w:val="Normal"/>
    <w:link w:val="9TextoinfografasCar"/>
    <w:qFormat/>
    <w:rsid w:val="0030526F"/>
    <w:rPr>
      <w:rFonts w:eastAsia="Roboto" w:cstheme="majorHAnsi"/>
      <w:sz w:val="16"/>
      <w:szCs w:val="18"/>
    </w:rPr>
  </w:style>
  <w:style w:type="character" w:customStyle="1" w:styleId="9TextoinfografasCar">
    <w:name w:val="9_Texto infografías Car"/>
    <w:basedOn w:val="Fuentedeprrafopredeter"/>
    <w:link w:val="9Textoinfografas"/>
    <w:rsid w:val="0030526F"/>
    <w:rPr>
      <w:rFonts w:asciiTheme="majorHAnsi" w:eastAsia="Roboto" w:hAnsiTheme="majorHAnsi" w:cstheme="majorHAnsi"/>
      <w:color w:val="1D3C5A"/>
      <w:sz w:val="16"/>
      <w:szCs w:val="18"/>
    </w:rPr>
  </w:style>
  <w:style w:type="paragraph" w:customStyle="1" w:styleId="7Bulletpoints">
    <w:name w:val="7_Bullet points"/>
    <w:link w:val="7BulletpointsCar"/>
    <w:autoRedefine/>
    <w:qFormat/>
    <w:rsid w:val="002B21D3"/>
    <w:pPr>
      <w:numPr>
        <w:numId w:val="22"/>
      </w:numPr>
      <w:spacing w:before="240" w:after="240"/>
      <w:ind w:right="425"/>
      <w:jc w:val="both"/>
    </w:pPr>
    <w:rPr>
      <w:rFonts w:asciiTheme="majorHAnsi" w:hAnsiTheme="majorHAnsi" w:cstheme="majorHAnsi"/>
      <w:color w:val="1D3C5A"/>
      <w:sz w:val="20"/>
      <w:szCs w:val="20"/>
      <w:lang w:eastAsia="zh-CN"/>
    </w:rPr>
  </w:style>
  <w:style w:type="character" w:customStyle="1" w:styleId="7BulletpointsCar">
    <w:name w:val="7_Bullet points Car"/>
    <w:basedOn w:val="PrrafodelistaCar"/>
    <w:link w:val="7Bulletpoints"/>
    <w:rsid w:val="002B21D3"/>
    <w:rPr>
      <w:rFonts w:asciiTheme="majorHAnsi" w:hAnsiTheme="majorHAnsi" w:cstheme="majorHAnsi"/>
      <w:color w:val="1D3C5A"/>
      <w:sz w:val="20"/>
      <w:szCs w:val="20"/>
      <w:lang w:eastAsia="zh-CN"/>
    </w:rPr>
  </w:style>
  <w:style w:type="paragraph" w:customStyle="1" w:styleId="6GFGRANDE">
    <w:name w:val="6_GF GRANDE"/>
    <w:basedOn w:val="Normal"/>
    <w:link w:val="6GFGRANDECar"/>
    <w:qFormat/>
    <w:rsid w:val="00A47C9B"/>
    <w:pPr>
      <w:spacing w:before="240" w:after="240"/>
    </w:pPr>
    <w:rPr>
      <w:noProof/>
      <w:sz w:val="24"/>
      <w:szCs w:val="28"/>
      <w:lang w:eastAsia="zh-CN"/>
    </w:rPr>
  </w:style>
  <w:style w:type="character" w:customStyle="1" w:styleId="6GFGRANDECar">
    <w:name w:val="6_GF GRANDE Car"/>
    <w:basedOn w:val="Fuentedeprrafopredeter"/>
    <w:link w:val="6GFGRANDE"/>
    <w:rsid w:val="00A47C9B"/>
    <w:rPr>
      <w:rFonts w:asciiTheme="majorHAnsi" w:hAnsiTheme="majorHAnsi"/>
      <w:noProof/>
      <w:color w:val="1D3C5A"/>
      <w:sz w:val="24"/>
      <w:szCs w:val="28"/>
      <w:lang w:eastAsia="zh-CN"/>
    </w:rPr>
  </w:style>
  <w:style w:type="paragraph" w:customStyle="1" w:styleId="4Titulo">
    <w:name w:val="4_Titulo"/>
    <w:basedOn w:val="Ttulo4"/>
    <w:next w:val="5GlobalFactor"/>
    <w:link w:val="4TituloCar"/>
    <w:autoRedefine/>
    <w:qFormat/>
    <w:rsid w:val="00327A23"/>
    <w:pPr>
      <w:numPr>
        <w:ilvl w:val="2"/>
        <w:numId w:val="24"/>
      </w:numPr>
      <w:spacing w:before="240" w:after="240" w:line="240" w:lineRule="auto"/>
      <w:mirrorIndents/>
    </w:pPr>
    <w:rPr>
      <w:color w:val="25775E"/>
      <w:sz w:val="24"/>
      <w:lang w:val="es" w:eastAsia="es-ES"/>
    </w:rPr>
  </w:style>
  <w:style w:type="character" w:customStyle="1" w:styleId="4TituloCar">
    <w:name w:val="4_Titulo Car"/>
    <w:basedOn w:val="PrrafodelistaCar"/>
    <w:link w:val="4Titulo"/>
    <w:rsid w:val="00327A23"/>
    <w:rPr>
      <w:rFonts w:asciiTheme="majorHAnsi" w:eastAsiaTheme="minorHAnsi" w:hAnsiTheme="majorHAnsi"/>
      <w:b/>
      <w:bCs/>
      <w:color w:val="25775E"/>
      <w:sz w:val="24"/>
      <w:szCs w:val="32"/>
      <w:lang w:val="es" w:eastAsia="es-ES"/>
    </w:rPr>
  </w:style>
  <w:style w:type="paragraph" w:customStyle="1" w:styleId="1Portadas">
    <w:name w:val="1_Portadas"/>
    <w:link w:val="1PortadasCar"/>
    <w:qFormat/>
    <w:rsid w:val="001F6556"/>
    <w:pPr>
      <w:ind w:left="709" w:hanging="709"/>
      <w:jc w:val="center"/>
    </w:pPr>
    <w:rPr>
      <w:rFonts w:ascii="Calibri Light" w:eastAsiaTheme="majorEastAsia" w:hAnsi="Calibri Light" w:cstheme="majorBidi"/>
      <w:b/>
      <w:color w:val="1D3C5A"/>
      <w:sz w:val="72"/>
      <w:szCs w:val="26"/>
    </w:rPr>
  </w:style>
  <w:style w:type="character" w:customStyle="1" w:styleId="1PortadasCar">
    <w:name w:val="1_Portadas Car"/>
    <w:basedOn w:val="Ttulo2Car"/>
    <w:link w:val="1Portadas"/>
    <w:rsid w:val="001F6556"/>
    <w:rPr>
      <w:rFonts w:ascii="Calibri Light" w:eastAsiaTheme="majorEastAsia" w:hAnsi="Calibri Light" w:cstheme="majorBidi"/>
      <w:b/>
      <w:color w:val="1D3C5A"/>
      <w:sz w:val="72"/>
      <w:szCs w:val="26"/>
    </w:rPr>
  </w:style>
  <w:style w:type="paragraph" w:customStyle="1" w:styleId="Titulopequeoseccin">
    <w:name w:val="Titulo pequeño sección"/>
    <w:basedOn w:val="Normal"/>
    <w:link w:val="TitulopequeoseccinCar"/>
    <w:qFormat/>
    <w:rsid w:val="00F83828"/>
    <w:pPr>
      <w:shd w:val="clear" w:color="auto" w:fill="D9D9D9" w:themeFill="background1" w:themeFillShade="D9"/>
      <w:jc w:val="left"/>
    </w:pPr>
    <w:rPr>
      <w:rFonts w:cstheme="majorHAnsi"/>
      <w:b/>
      <w:bCs/>
      <w:noProof/>
      <w:sz w:val="24"/>
      <w:szCs w:val="24"/>
      <w:lang w:val="es"/>
    </w:rPr>
  </w:style>
  <w:style w:type="character" w:customStyle="1" w:styleId="TitulopequeoseccinCar">
    <w:name w:val="Titulo pequeño sección Car"/>
    <w:basedOn w:val="Fuentedeprrafopredeter"/>
    <w:link w:val="Titulopequeoseccin"/>
    <w:rsid w:val="00F83828"/>
    <w:rPr>
      <w:rFonts w:asciiTheme="majorHAnsi" w:hAnsiTheme="majorHAnsi" w:cstheme="majorHAnsi"/>
      <w:b/>
      <w:bCs/>
      <w:noProof/>
      <w:color w:val="1D3C5A"/>
      <w:sz w:val="24"/>
      <w:szCs w:val="24"/>
      <w:shd w:val="clear" w:color="auto" w:fill="D9D9D9" w:themeFill="background1" w:themeFillShade="D9"/>
      <w:lang w:val="es"/>
    </w:rPr>
  </w:style>
  <w:style w:type="paragraph" w:customStyle="1" w:styleId="cursivabold">
    <w:name w:val="cursiva bold"/>
    <w:basedOn w:val="Normal"/>
    <w:link w:val="cursivaboldCar"/>
    <w:qFormat/>
    <w:rsid w:val="001C3E34"/>
    <w:pPr>
      <w:spacing w:after="0" w:line="240" w:lineRule="auto"/>
      <w:jc w:val="center"/>
    </w:pPr>
    <w:rPr>
      <w:rFonts w:eastAsia="Calibri" w:cstheme="majorHAnsi"/>
      <w:b/>
      <w:bCs/>
      <w:i/>
      <w:iCs/>
      <w:color w:val="25775E"/>
      <w:szCs w:val="20"/>
    </w:rPr>
  </w:style>
  <w:style w:type="character" w:customStyle="1" w:styleId="cursivaboldCar">
    <w:name w:val="cursiva bold Car"/>
    <w:basedOn w:val="Fuentedeprrafopredeter"/>
    <w:link w:val="cursivabold"/>
    <w:rsid w:val="001C3E34"/>
    <w:rPr>
      <w:rFonts w:asciiTheme="majorHAnsi" w:eastAsia="Calibri" w:hAnsiTheme="majorHAnsi" w:cstheme="majorHAnsi"/>
      <w:b/>
      <w:bCs/>
      <w:i/>
      <w:iCs/>
      <w:color w:val="25775E"/>
      <w:sz w:val="20"/>
      <w:szCs w:val="20"/>
    </w:rPr>
  </w:style>
  <w:style w:type="paragraph" w:customStyle="1" w:styleId="Ttulopequeobold">
    <w:name w:val="Título pequeño bold"/>
    <w:basedOn w:val="Normal"/>
    <w:link w:val="TtulopequeoboldCar"/>
    <w:qFormat/>
    <w:rsid w:val="001C3E34"/>
    <w:pPr>
      <w:spacing w:line="360" w:lineRule="auto"/>
    </w:pPr>
    <w:rPr>
      <w:b/>
    </w:rPr>
  </w:style>
  <w:style w:type="character" w:customStyle="1" w:styleId="TtulopequeoboldCar">
    <w:name w:val="Título pequeño bold Car"/>
    <w:basedOn w:val="Fuentedeprrafopredeter"/>
    <w:link w:val="Ttulopequeobold"/>
    <w:rsid w:val="001C3E34"/>
    <w:rPr>
      <w:rFonts w:asciiTheme="majorHAnsi" w:hAnsiTheme="majorHAnsi"/>
      <w:b/>
      <w:color w:val="1D3C5A"/>
      <w:sz w:val="20"/>
    </w:rPr>
  </w:style>
  <w:style w:type="paragraph" w:customStyle="1" w:styleId="Referencias">
    <w:name w:val="Referencias"/>
    <w:basedOn w:val="Descripcin"/>
    <w:link w:val="ReferenciasCar"/>
    <w:qFormat/>
    <w:rsid w:val="00516FCA"/>
    <w:pPr>
      <w:spacing w:after="0"/>
      <w:jc w:val="right"/>
    </w:pPr>
    <w:rPr>
      <w:rFonts w:asciiTheme="majorHAnsi" w:hAnsiTheme="majorHAnsi" w:cstheme="majorHAnsi"/>
      <w:color w:val="1E3B59"/>
    </w:rPr>
  </w:style>
  <w:style w:type="character" w:customStyle="1" w:styleId="ReferenciasCar">
    <w:name w:val="Referencias Car"/>
    <w:basedOn w:val="DescripcinCar"/>
    <w:link w:val="Referencias"/>
    <w:rsid w:val="00516FCA"/>
    <w:rPr>
      <w:rFonts w:asciiTheme="majorHAnsi" w:hAnsiTheme="majorHAnsi" w:cstheme="majorHAnsi"/>
      <w:b/>
      <w:bCs/>
      <w:color w:val="1E3B59"/>
      <w:sz w:val="18"/>
      <w:szCs w:val="18"/>
    </w:rPr>
  </w:style>
  <w:style w:type="paragraph" w:customStyle="1" w:styleId="Fuente0">
    <w:name w:val="Fuente"/>
    <w:basedOn w:val="Descripcin"/>
    <w:link w:val="FuenteCar0"/>
    <w:qFormat/>
    <w:rsid w:val="00516FCA"/>
    <w:pPr>
      <w:spacing w:after="0"/>
      <w:jc w:val="right"/>
    </w:pPr>
    <w:rPr>
      <w:rFonts w:asciiTheme="majorHAnsi" w:hAnsiTheme="majorHAnsi" w:cstheme="majorHAnsi"/>
      <w:b w:val="0"/>
      <w:bCs w:val="0"/>
      <w:i/>
      <w:iCs/>
      <w:color w:val="1E3B59"/>
    </w:rPr>
  </w:style>
  <w:style w:type="character" w:customStyle="1" w:styleId="FuenteCar0">
    <w:name w:val="Fuente Car"/>
    <w:basedOn w:val="DescripcinCar"/>
    <w:link w:val="Fuente0"/>
    <w:rsid w:val="00516FCA"/>
    <w:rPr>
      <w:rFonts w:asciiTheme="majorHAnsi" w:hAnsiTheme="majorHAnsi" w:cstheme="majorHAnsi"/>
      <w:b w:val="0"/>
      <w:bCs w:val="0"/>
      <w:i/>
      <w:iCs/>
      <w:color w:val="1E3B59"/>
      <w:sz w:val="18"/>
      <w:szCs w:val="18"/>
    </w:rPr>
  </w:style>
  <w:style w:type="table" w:customStyle="1" w:styleId="GlobalFactor">
    <w:name w:val="Global Factor"/>
    <w:basedOn w:val="Tablanormal"/>
    <w:uiPriority w:val="99"/>
    <w:rsid w:val="00A91A96"/>
    <w:pPr>
      <w:spacing w:after="0" w:line="240" w:lineRule="auto"/>
    </w:pPr>
    <w:rPr>
      <w:rFonts w:asciiTheme="majorHAnsi" w:hAnsiTheme="majorHAnsi"/>
      <w:color w:val="1D3C5A"/>
      <w:sz w:val="20"/>
    </w:rPr>
    <w:tblPr>
      <w:jc w:val="center"/>
      <w:tblBorders>
        <w:top w:val="single" w:sz="4" w:space="0" w:color="auto"/>
        <w:left w:val="single" w:sz="4" w:space="0" w:color="auto"/>
        <w:bottom w:val="single" w:sz="4" w:space="0" w:color="auto"/>
        <w:right w:val="single" w:sz="4" w:space="0" w:color="auto"/>
      </w:tblBorders>
    </w:tblPr>
    <w:trPr>
      <w:cantSplit/>
      <w:jc w:val="center"/>
    </w:trPr>
    <w:tcPr>
      <w:shd w:val="clear" w:color="auto" w:fill="auto"/>
      <w:vAlign w:val="center"/>
    </w:tcPr>
  </w:style>
  <w:style w:type="paragraph" w:customStyle="1" w:styleId="6BoldVerde">
    <w:name w:val="6_BoldVerde"/>
    <w:basedOn w:val="Normal"/>
    <w:link w:val="6BoldVerdeCar"/>
    <w:qFormat/>
    <w:rsid w:val="00BF6828"/>
    <w:pPr>
      <w:pBdr>
        <w:bottom w:val="single" w:sz="4" w:space="1" w:color="25775E"/>
      </w:pBdr>
      <w:tabs>
        <w:tab w:val="left" w:pos="1538"/>
      </w:tabs>
      <w:spacing w:before="240" w:after="0"/>
    </w:pPr>
    <w:rPr>
      <w:rFonts w:cstheme="majorHAnsi"/>
      <w:b/>
      <w:bCs/>
      <w:color w:val="25775E"/>
    </w:rPr>
  </w:style>
  <w:style w:type="character" w:customStyle="1" w:styleId="6BoldVerdeCar">
    <w:name w:val="6_BoldVerde Car"/>
    <w:basedOn w:val="Fuentedeprrafopredeter"/>
    <w:link w:val="6BoldVerde"/>
    <w:rsid w:val="00BF6828"/>
    <w:rPr>
      <w:rFonts w:asciiTheme="majorHAnsi" w:hAnsiTheme="majorHAnsi" w:cstheme="majorHAnsi"/>
      <w:b/>
      <w:bCs/>
      <w:color w:val="25775E"/>
      <w:sz w:val="20"/>
    </w:rPr>
  </w:style>
  <w:style w:type="numbering" w:customStyle="1" w:styleId="Estilo2">
    <w:name w:val="Estilo2"/>
    <w:uiPriority w:val="99"/>
    <w:rsid w:val="00F1344E"/>
    <w:pPr>
      <w:numPr>
        <w:numId w:val="26"/>
      </w:numPr>
    </w:pPr>
  </w:style>
  <w:style w:type="paragraph" w:styleId="TDC4">
    <w:name w:val="toc 4"/>
    <w:basedOn w:val="Normal"/>
    <w:next w:val="Normal"/>
    <w:autoRedefine/>
    <w:uiPriority w:val="39"/>
    <w:unhideWhenUsed/>
    <w:rsid w:val="004449F6"/>
    <w:pPr>
      <w:tabs>
        <w:tab w:val="left" w:pos="1843"/>
        <w:tab w:val="right" w:leader="dot" w:pos="9060"/>
      </w:tabs>
      <w:spacing w:after="100" w:line="360" w:lineRule="auto"/>
      <w:ind w:left="600"/>
    </w:pPr>
    <w:rPr>
      <w:i/>
    </w:rPr>
  </w:style>
  <w:style w:type="table" w:customStyle="1" w:styleId="Tablaconcuadrcula4-nfasis61">
    <w:name w:val="Tabla con cuadrícula 4 - Énfasis 61"/>
    <w:basedOn w:val="Tablanormal"/>
    <w:next w:val="Tablaconcuadrcula4-nfasis6"/>
    <w:uiPriority w:val="49"/>
    <w:rsid w:val="0089303E"/>
    <w:pPr>
      <w:spacing w:after="0" w:line="240" w:lineRule="auto"/>
    </w:pPr>
    <w:rPr>
      <w:rFonts w:eastAsia="Calibri"/>
    </w:rPr>
    <w:tblPr>
      <w:tblStyleRowBandSize w:val="1"/>
      <w:tblStyleColBandSize w:val="1"/>
      <w:tblBorders>
        <w:top w:val="single" w:sz="4" w:space="0" w:color="25775E"/>
        <w:left w:val="single" w:sz="4" w:space="0" w:color="25775E"/>
        <w:bottom w:val="single" w:sz="4" w:space="0" w:color="25775E"/>
        <w:right w:val="single" w:sz="4" w:space="0" w:color="25775E"/>
        <w:insideH w:val="single" w:sz="4" w:space="0" w:color="25775E"/>
        <w:insideV w:val="single" w:sz="4" w:space="0" w:color="25775E"/>
      </w:tblBorders>
    </w:tblPr>
    <w:tcPr>
      <w:shd w:val="clear" w:color="auto" w:fill="auto"/>
    </w:tc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6545002">
      <w:bodyDiv w:val="1"/>
      <w:marLeft w:val="0"/>
      <w:marRight w:val="0"/>
      <w:marTop w:val="0"/>
      <w:marBottom w:val="0"/>
      <w:divBdr>
        <w:top w:val="none" w:sz="0" w:space="0" w:color="auto"/>
        <w:left w:val="none" w:sz="0" w:space="0" w:color="auto"/>
        <w:bottom w:val="none" w:sz="0" w:space="0" w:color="auto"/>
        <w:right w:val="none" w:sz="0" w:space="0" w:color="auto"/>
      </w:divBdr>
    </w:div>
    <w:div w:id="19818832">
      <w:bodyDiv w:val="1"/>
      <w:marLeft w:val="0"/>
      <w:marRight w:val="0"/>
      <w:marTop w:val="0"/>
      <w:marBottom w:val="0"/>
      <w:divBdr>
        <w:top w:val="none" w:sz="0" w:space="0" w:color="auto"/>
        <w:left w:val="none" w:sz="0" w:space="0" w:color="auto"/>
        <w:bottom w:val="none" w:sz="0" w:space="0" w:color="auto"/>
        <w:right w:val="none" w:sz="0" w:space="0" w:color="auto"/>
      </w:divBdr>
      <w:divsChild>
        <w:div w:id="1818716864">
          <w:marLeft w:val="547"/>
          <w:marRight w:val="0"/>
          <w:marTop w:val="0"/>
          <w:marBottom w:val="0"/>
          <w:divBdr>
            <w:top w:val="none" w:sz="0" w:space="0" w:color="auto"/>
            <w:left w:val="none" w:sz="0" w:space="0" w:color="auto"/>
            <w:bottom w:val="none" w:sz="0" w:space="0" w:color="auto"/>
            <w:right w:val="none" w:sz="0" w:space="0" w:color="auto"/>
          </w:divBdr>
        </w:div>
      </w:divsChild>
    </w:div>
    <w:div w:id="85805526">
      <w:bodyDiv w:val="1"/>
      <w:marLeft w:val="0"/>
      <w:marRight w:val="0"/>
      <w:marTop w:val="0"/>
      <w:marBottom w:val="0"/>
      <w:divBdr>
        <w:top w:val="none" w:sz="0" w:space="0" w:color="auto"/>
        <w:left w:val="none" w:sz="0" w:space="0" w:color="auto"/>
        <w:bottom w:val="none" w:sz="0" w:space="0" w:color="auto"/>
        <w:right w:val="none" w:sz="0" w:space="0" w:color="auto"/>
      </w:divBdr>
    </w:div>
    <w:div w:id="343829015">
      <w:bodyDiv w:val="1"/>
      <w:marLeft w:val="0"/>
      <w:marRight w:val="0"/>
      <w:marTop w:val="0"/>
      <w:marBottom w:val="0"/>
      <w:divBdr>
        <w:top w:val="none" w:sz="0" w:space="0" w:color="auto"/>
        <w:left w:val="none" w:sz="0" w:space="0" w:color="auto"/>
        <w:bottom w:val="none" w:sz="0" w:space="0" w:color="auto"/>
        <w:right w:val="none" w:sz="0" w:space="0" w:color="auto"/>
      </w:divBdr>
    </w:div>
    <w:div w:id="467555851">
      <w:bodyDiv w:val="1"/>
      <w:marLeft w:val="0"/>
      <w:marRight w:val="0"/>
      <w:marTop w:val="0"/>
      <w:marBottom w:val="0"/>
      <w:divBdr>
        <w:top w:val="none" w:sz="0" w:space="0" w:color="auto"/>
        <w:left w:val="none" w:sz="0" w:space="0" w:color="auto"/>
        <w:bottom w:val="none" w:sz="0" w:space="0" w:color="auto"/>
        <w:right w:val="none" w:sz="0" w:space="0" w:color="auto"/>
      </w:divBdr>
    </w:div>
    <w:div w:id="500237632">
      <w:bodyDiv w:val="1"/>
      <w:marLeft w:val="0"/>
      <w:marRight w:val="0"/>
      <w:marTop w:val="0"/>
      <w:marBottom w:val="0"/>
      <w:divBdr>
        <w:top w:val="none" w:sz="0" w:space="0" w:color="auto"/>
        <w:left w:val="none" w:sz="0" w:space="0" w:color="auto"/>
        <w:bottom w:val="none" w:sz="0" w:space="0" w:color="auto"/>
        <w:right w:val="none" w:sz="0" w:space="0" w:color="auto"/>
      </w:divBdr>
    </w:div>
    <w:div w:id="503865706">
      <w:bodyDiv w:val="1"/>
      <w:marLeft w:val="0"/>
      <w:marRight w:val="0"/>
      <w:marTop w:val="0"/>
      <w:marBottom w:val="0"/>
      <w:divBdr>
        <w:top w:val="none" w:sz="0" w:space="0" w:color="auto"/>
        <w:left w:val="none" w:sz="0" w:space="0" w:color="auto"/>
        <w:bottom w:val="none" w:sz="0" w:space="0" w:color="auto"/>
        <w:right w:val="none" w:sz="0" w:space="0" w:color="auto"/>
      </w:divBdr>
    </w:div>
    <w:div w:id="588004009">
      <w:bodyDiv w:val="1"/>
      <w:marLeft w:val="0"/>
      <w:marRight w:val="0"/>
      <w:marTop w:val="0"/>
      <w:marBottom w:val="0"/>
      <w:divBdr>
        <w:top w:val="none" w:sz="0" w:space="0" w:color="auto"/>
        <w:left w:val="none" w:sz="0" w:space="0" w:color="auto"/>
        <w:bottom w:val="none" w:sz="0" w:space="0" w:color="auto"/>
        <w:right w:val="none" w:sz="0" w:space="0" w:color="auto"/>
      </w:divBdr>
      <w:divsChild>
        <w:div w:id="1415320361">
          <w:marLeft w:val="547"/>
          <w:marRight w:val="0"/>
          <w:marTop w:val="0"/>
          <w:marBottom w:val="0"/>
          <w:divBdr>
            <w:top w:val="none" w:sz="0" w:space="0" w:color="auto"/>
            <w:left w:val="none" w:sz="0" w:space="0" w:color="auto"/>
            <w:bottom w:val="none" w:sz="0" w:space="0" w:color="auto"/>
            <w:right w:val="none" w:sz="0" w:space="0" w:color="auto"/>
          </w:divBdr>
        </w:div>
      </w:divsChild>
    </w:div>
    <w:div w:id="642126395">
      <w:bodyDiv w:val="1"/>
      <w:marLeft w:val="0"/>
      <w:marRight w:val="0"/>
      <w:marTop w:val="0"/>
      <w:marBottom w:val="0"/>
      <w:divBdr>
        <w:top w:val="none" w:sz="0" w:space="0" w:color="auto"/>
        <w:left w:val="none" w:sz="0" w:space="0" w:color="auto"/>
        <w:bottom w:val="none" w:sz="0" w:space="0" w:color="auto"/>
        <w:right w:val="none" w:sz="0" w:space="0" w:color="auto"/>
      </w:divBdr>
    </w:div>
    <w:div w:id="645817841">
      <w:bodyDiv w:val="1"/>
      <w:marLeft w:val="0"/>
      <w:marRight w:val="0"/>
      <w:marTop w:val="0"/>
      <w:marBottom w:val="0"/>
      <w:divBdr>
        <w:top w:val="none" w:sz="0" w:space="0" w:color="auto"/>
        <w:left w:val="none" w:sz="0" w:space="0" w:color="auto"/>
        <w:bottom w:val="none" w:sz="0" w:space="0" w:color="auto"/>
        <w:right w:val="none" w:sz="0" w:space="0" w:color="auto"/>
      </w:divBdr>
    </w:div>
    <w:div w:id="750008417">
      <w:bodyDiv w:val="1"/>
      <w:marLeft w:val="0"/>
      <w:marRight w:val="0"/>
      <w:marTop w:val="0"/>
      <w:marBottom w:val="0"/>
      <w:divBdr>
        <w:top w:val="none" w:sz="0" w:space="0" w:color="auto"/>
        <w:left w:val="none" w:sz="0" w:space="0" w:color="auto"/>
        <w:bottom w:val="none" w:sz="0" w:space="0" w:color="auto"/>
        <w:right w:val="none" w:sz="0" w:space="0" w:color="auto"/>
      </w:divBdr>
    </w:div>
    <w:div w:id="820922687">
      <w:bodyDiv w:val="1"/>
      <w:marLeft w:val="0"/>
      <w:marRight w:val="0"/>
      <w:marTop w:val="0"/>
      <w:marBottom w:val="0"/>
      <w:divBdr>
        <w:top w:val="none" w:sz="0" w:space="0" w:color="auto"/>
        <w:left w:val="none" w:sz="0" w:space="0" w:color="auto"/>
        <w:bottom w:val="none" w:sz="0" w:space="0" w:color="auto"/>
        <w:right w:val="none" w:sz="0" w:space="0" w:color="auto"/>
      </w:divBdr>
    </w:div>
    <w:div w:id="841310374">
      <w:bodyDiv w:val="1"/>
      <w:marLeft w:val="0"/>
      <w:marRight w:val="0"/>
      <w:marTop w:val="0"/>
      <w:marBottom w:val="0"/>
      <w:divBdr>
        <w:top w:val="none" w:sz="0" w:space="0" w:color="auto"/>
        <w:left w:val="none" w:sz="0" w:space="0" w:color="auto"/>
        <w:bottom w:val="none" w:sz="0" w:space="0" w:color="auto"/>
        <w:right w:val="none" w:sz="0" w:space="0" w:color="auto"/>
      </w:divBdr>
      <w:divsChild>
        <w:div w:id="2085060158">
          <w:marLeft w:val="547"/>
          <w:marRight w:val="0"/>
          <w:marTop w:val="0"/>
          <w:marBottom w:val="0"/>
          <w:divBdr>
            <w:top w:val="none" w:sz="0" w:space="0" w:color="auto"/>
            <w:left w:val="none" w:sz="0" w:space="0" w:color="auto"/>
            <w:bottom w:val="none" w:sz="0" w:space="0" w:color="auto"/>
            <w:right w:val="none" w:sz="0" w:space="0" w:color="auto"/>
          </w:divBdr>
        </w:div>
      </w:divsChild>
    </w:div>
    <w:div w:id="878736196">
      <w:bodyDiv w:val="1"/>
      <w:marLeft w:val="0"/>
      <w:marRight w:val="0"/>
      <w:marTop w:val="0"/>
      <w:marBottom w:val="0"/>
      <w:divBdr>
        <w:top w:val="none" w:sz="0" w:space="0" w:color="auto"/>
        <w:left w:val="none" w:sz="0" w:space="0" w:color="auto"/>
        <w:bottom w:val="none" w:sz="0" w:space="0" w:color="auto"/>
        <w:right w:val="none" w:sz="0" w:space="0" w:color="auto"/>
      </w:divBdr>
      <w:divsChild>
        <w:div w:id="1032923520">
          <w:marLeft w:val="547"/>
          <w:marRight w:val="0"/>
          <w:marTop w:val="0"/>
          <w:marBottom w:val="0"/>
          <w:divBdr>
            <w:top w:val="none" w:sz="0" w:space="0" w:color="auto"/>
            <w:left w:val="none" w:sz="0" w:space="0" w:color="auto"/>
            <w:bottom w:val="none" w:sz="0" w:space="0" w:color="auto"/>
            <w:right w:val="none" w:sz="0" w:space="0" w:color="auto"/>
          </w:divBdr>
        </w:div>
      </w:divsChild>
    </w:div>
    <w:div w:id="881939698">
      <w:bodyDiv w:val="1"/>
      <w:marLeft w:val="0"/>
      <w:marRight w:val="0"/>
      <w:marTop w:val="0"/>
      <w:marBottom w:val="0"/>
      <w:divBdr>
        <w:top w:val="none" w:sz="0" w:space="0" w:color="auto"/>
        <w:left w:val="none" w:sz="0" w:space="0" w:color="auto"/>
        <w:bottom w:val="none" w:sz="0" w:space="0" w:color="auto"/>
        <w:right w:val="none" w:sz="0" w:space="0" w:color="auto"/>
      </w:divBdr>
    </w:div>
    <w:div w:id="923146053">
      <w:bodyDiv w:val="1"/>
      <w:marLeft w:val="0"/>
      <w:marRight w:val="0"/>
      <w:marTop w:val="0"/>
      <w:marBottom w:val="0"/>
      <w:divBdr>
        <w:top w:val="none" w:sz="0" w:space="0" w:color="auto"/>
        <w:left w:val="none" w:sz="0" w:space="0" w:color="auto"/>
        <w:bottom w:val="none" w:sz="0" w:space="0" w:color="auto"/>
        <w:right w:val="none" w:sz="0" w:space="0" w:color="auto"/>
      </w:divBdr>
      <w:divsChild>
        <w:div w:id="570313404">
          <w:marLeft w:val="547"/>
          <w:marRight w:val="0"/>
          <w:marTop w:val="0"/>
          <w:marBottom w:val="0"/>
          <w:divBdr>
            <w:top w:val="none" w:sz="0" w:space="0" w:color="auto"/>
            <w:left w:val="none" w:sz="0" w:space="0" w:color="auto"/>
            <w:bottom w:val="none" w:sz="0" w:space="0" w:color="auto"/>
            <w:right w:val="none" w:sz="0" w:space="0" w:color="auto"/>
          </w:divBdr>
        </w:div>
      </w:divsChild>
    </w:div>
    <w:div w:id="1130783346">
      <w:bodyDiv w:val="1"/>
      <w:marLeft w:val="0"/>
      <w:marRight w:val="0"/>
      <w:marTop w:val="0"/>
      <w:marBottom w:val="0"/>
      <w:divBdr>
        <w:top w:val="none" w:sz="0" w:space="0" w:color="auto"/>
        <w:left w:val="none" w:sz="0" w:space="0" w:color="auto"/>
        <w:bottom w:val="none" w:sz="0" w:space="0" w:color="auto"/>
        <w:right w:val="none" w:sz="0" w:space="0" w:color="auto"/>
      </w:divBdr>
    </w:div>
    <w:div w:id="1152135717">
      <w:bodyDiv w:val="1"/>
      <w:marLeft w:val="0"/>
      <w:marRight w:val="0"/>
      <w:marTop w:val="0"/>
      <w:marBottom w:val="0"/>
      <w:divBdr>
        <w:top w:val="none" w:sz="0" w:space="0" w:color="auto"/>
        <w:left w:val="none" w:sz="0" w:space="0" w:color="auto"/>
        <w:bottom w:val="none" w:sz="0" w:space="0" w:color="auto"/>
        <w:right w:val="none" w:sz="0" w:space="0" w:color="auto"/>
      </w:divBdr>
    </w:div>
    <w:div w:id="1202859883">
      <w:bodyDiv w:val="1"/>
      <w:marLeft w:val="0"/>
      <w:marRight w:val="0"/>
      <w:marTop w:val="0"/>
      <w:marBottom w:val="0"/>
      <w:divBdr>
        <w:top w:val="none" w:sz="0" w:space="0" w:color="auto"/>
        <w:left w:val="none" w:sz="0" w:space="0" w:color="auto"/>
        <w:bottom w:val="none" w:sz="0" w:space="0" w:color="auto"/>
        <w:right w:val="none" w:sz="0" w:space="0" w:color="auto"/>
      </w:divBdr>
      <w:divsChild>
        <w:div w:id="347828113">
          <w:marLeft w:val="547"/>
          <w:marRight w:val="0"/>
          <w:marTop w:val="0"/>
          <w:marBottom w:val="0"/>
          <w:divBdr>
            <w:top w:val="none" w:sz="0" w:space="0" w:color="auto"/>
            <w:left w:val="none" w:sz="0" w:space="0" w:color="auto"/>
            <w:bottom w:val="none" w:sz="0" w:space="0" w:color="auto"/>
            <w:right w:val="none" w:sz="0" w:space="0" w:color="auto"/>
          </w:divBdr>
        </w:div>
      </w:divsChild>
    </w:div>
    <w:div w:id="1303390628">
      <w:bodyDiv w:val="1"/>
      <w:marLeft w:val="0"/>
      <w:marRight w:val="0"/>
      <w:marTop w:val="0"/>
      <w:marBottom w:val="0"/>
      <w:divBdr>
        <w:top w:val="none" w:sz="0" w:space="0" w:color="auto"/>
        <w:left w:val="none" w:sz="0" w:space="0" w:color="auto"/>
        <w:bottom w:val="none" w:sz="0" w:space="0" w:color="auto"/>
        <w:right w:val="none" w:sz="0" w:space="0" w:color="auto"/>
      </w:divBdr>
    </w:div>
    <w:div w:id="1369910255">
      <w:bodyDiv w:val="1"/>
      <w:marLeft w:val="0"/>
      <w:marRight w:val="0"/>
      <w:marTop w:val="0"/>
      <w:marBottom w:val="0"/>
      <w:divBdr>
        <w:top w:val="none" w:sz="0" w:space="0" w:color="auto"/>
        <w:left w:val="none" w:sz="0" w:space="0" w:color="auto"/>
        <w:bottom w:val="none" w:sz="0" w:space="0" w:color="auto"/>
        <w:right w:val="none" w:sz="0" w:space="0" w:color="auto"/>
      </w:divBdr>
    </w:div>
    <w:div w:id="1379933798">
      <w:bodyDiv w:val="1"/>
      <w:marLeft w:val="0"/>
      <w:marRight w:val="0"/>
      <w:marTop w:val="0"/>
      <w:marBottom w:val="0"/>
      <w:divBdr>
        <w:top w:val="none" w:sz="0" w:space="0" w:color="auto"/>
        <w:left w:val="none" w:sz="0" w:space="0" w:color="auto"/>
        <w:bottom w:val="none" w:sz="0" w:space="0" w:color="auto"/>
        <w:right w:val="none" w:sz="0" w:space="0" w:color="auto"/>
      </w:divBdr>
    </w:div>
    <w:div w:id="1454254833">
      <w:bodyDiv w:val="1"/>
      <w:marLeft w:val="0"/>
      <w:marRight w:val="0"/>
      <w:marTop w:val="0"/>
      <w:marBottom w:val="0"/>
      <w:divBdr>
        <w:top w:val="none" w:sz="0" w:space="0" w:color="auto"/>
        <w:left w:val="none" w:sz="0" w:space="0" w:color="auto"/>
        <w:bottom w:val="none" w:sz="0" w:space="0" w:color="auto"/>
        <w:right w:val="none" w:sz="0" w:space="0" w:color="auto"/>
      </w:divBdr>
    </w:div>
    <w:div w:id="1611162589">
      <w:bodyDiv w:val="1"/>
      <w:marLeft w:val="0"/>
      <w:marRight w:val="0"/>
      <w:marTop w:val="0"/>
      <w:marBottom w:val="0"/>
      <w:divBdr>
        <w:top w:val="none" w:sz="0" w:space="0" w:color="auto"/>
        <w:left w:val="none" w:sz="0" w:space="0" w:color="auto"/>
        <w:bottom w:val="none" w:sz="0" w:space="0" w:color="auto"/>
        <w:right w:val="none" w:sz="0" w:space="0" w:color="auto"/>
      </w:divBdr>
    </w:div>
    <w:div w:id="1788349858">
      <w:bodyDiv w:val="1"/>
      <w:marLeft w:val="0"/>
      <w:marRight w:val="0"/>
      <w:marTop w:val="0"/>
      <w:marBottom w:val="0"/>
      <w:divBdr>
        <w:top w:val="none" w:sz="0" w:space="0" w:color="auto"/>
        <w:left w:val="none" w:sz="0" w:space="0" w:color="auto"/>
        <w:bottom w:val="none" w:sz="0" w:space="0" w:color="auto"/>
        <w:right w:val="none" w:sz="0" w:space="0" w:color="auto"/>
      </w:divBdr>
    </w:div>
    <w:div w:id="1806654688">
      <w:bodyDiv w:val="1"/>
      <w:marLeft w:val="0"/>
      <w:marRight w:val="0"/>
      <w:marTop w:val="0"/>
      <w:marBottom w:val="0"/>
      <w:divBdr>
        <w:top w:val="none" w:sz="0" w:space="0" w:color="auto"/>
        <w:left w:val="none" w:sz="0" w:space="0" w:color="auto"/>
        <w:bottom w:val="none" w:sz="0" w:space="0" w:color="auto"/>
        <w:right w:val="none" w:sz="0" w:space="0" w:color="auto"/>
      </w:divBdr>
    </w:div>
    <w:div w:id="1841574956">
      <w:bodyDiv w:val="1"/>
      <w:marLeft w:val="0"/>
      <w:marRight w:val="0"/>
      <w:marTop w:val="0"/>
      <w:marBottom w:val="0"/>
      <w:divBdr>
        <w:top w:val="none" w:sz="0" w:space="0" w:color="auto"/>
        <w:left w:val="none" w:sz="0" w:space="0" w:color="auto"/>
        <w:bottom w:val="none" w:sz="0" w:space="0" w:color="auto"/>
        <w:right w:val="none" w:sz="0" w:space="0" w:color="auto"/>
      </w:divBdr>
    </w:div>
    <w:div w:id="1900631331">
      <w:bodyDiv w:val="1"/>
      <w:marLeft w:val="0"/>
      <w:marRight w:val="0"/>
      <w:marTop w:val="0"/>
      <w:marBottom w:val="0"/>
      <w:divBdr>
        <w:top w:val="none" w:sz="0" w:space="0" w:color="auto"/>
        <w:left w:val="none" w:sz="0" w:space="0" w:color="auto"/>
        <w:bottom w:val="none" w:sz="0" w:space="0" w:color="auto"/>
        <w:right w:val="none" w:sz="0" w:space="0" w:color="auto"/>
      </w:divBdr>
    </w:div>
    <w:div w:id="1978104733">
      <w:bodyDiv w:val="1"/>
      <w:marLeft w:val="0"/>
      <w:marRight w:val="0"/>
      <w:marTop w:val="0"/>
      <w:marBottom w:val="0"/>
      <w:divBdr>
        <w:top w:val="none" w:sz="0" w:space="0" w:color="auto"/>
        <w:left w:val="none" w:sz="0" w:space="0" w:color="auto"/>
        <w:bottom w:val="none" w:sz="0" w:space="0" w:color="auto"/>
        <w:right w:val="none" w:sz="0" w:space="0" w:color="auto"/>
      </w:divBdr>
    </w:div>
    <w:div w:id="1997413229">
      <w:bodyDiv w:val="1"/>
      <w:marLeft w:val="0"/>
      <w:marRight w:val="0"/>
      <w:marTop w:val="0"/>
      <w:marBottom w:val="0"/>
      <w:divBdr>
        <w:top w:val="none" w:sz="0" w:space="0" w:color="auto"/>
        <w:left w:val="none" w:sz="0" w:space="0" w:color="auto"/>
        <w:bottom w:val="none" w:sz="0" w:space="0" w:color="auto"/>
        <w:right w:val="none" w:sz="0" w:space="0" w:color="auto"/>
      </w:divBdr>
      <w:divsChild>
        <w:div w:id="1514223569">
          <w:marLeft w:val="547"/>
          <w:marRight w:val="0"/>
          <w:marTop w:val="0"/>
          <w:marBottom w:val="0"/>
          <w:divBdr>
            <w:top w:val="none" w:sz="0" w:space="0" w:color="auto"/>
            <w:left w:val="none" w:sz="0" w:space="0" w:color="auto"/>
            <w:bottom w:val="none" w:sz="0" w:space="0" w:color="auto"/>
            <w:right w:val="none" w:sz="0" w:space="0" w:color="auto"/>
          </w:divBdr>
        </w:div>
      </w:divsChild>
    </w:div>
    <w:div w:id="2072195499">
      <w:bodyDiv w:val="1"/>
      <w:marLeft w:val="0"/>
      <w:marRight w:val="0"/>
      <w:marTop w:val="0"/>
      <w:marBottom w:val="0"/>
      <w:divBdr>
        <w:top w:val="none" w:sz="0" w:space="0" w:color="auto"/>
        <w:left w:val="none" w:sz="0" w:space="0" w:color="auto"/>
        <w:bottom w:val="none" w:sz="0" w:space="0" w:color="auto"/>
        <w:right w:val="none" w:sz="0" w:space="0" w:color="auto"/>
      </w:divBdr>
    </w:div>
    <w:div w:id="2079788083">
      <w:bodyDiv w:val="1"/>
      <w:marLeft w:val="0"/>
      <w:marRight w:val="0"/>
      <w:marTop w:val="0"/>
      <w:marBottom w:val="0"/>
      <w:divBdr>
        <w:top w:val="none" w:sz="0" w:space="0" w:color="auto"/>
        <w:left w:val="none" w:sz="0" w:space="0" w:color="auto"/>
        <w:bottom w:val="none" w:sz="0" w:space="0" w:color="auto"/>
        <w:right w:val="none" w:sz="0" w:space="0" w:color="auto"/>
      </w:divBdr>
    </w:div>
    <w:div w:id="2139372032">
      <w:bodyDiv w:val="1"/>
      <w:marLeft w:val="0"/>
      <w:marRight w:val="0"/>
      <w:marTop w:val="0"/>
      <w:marBottom w:val="0"/>
      <w:divBdr>
        <w:top w:val="none" w:sz="0" w:space="0" w:color="auto"/>
        <w:left w:val="none" w:sz="0" w:space="0" w:color="auto"/>
        <w:bottom w:val="none" w:sz="0" w:space="0" w:color="auto"/>
        <w:right w:val="none" w:sz="0" w:space="0" w:color="auto"/>
      </w:divBdr>
      <w:divsChild>
        <w:div w:id="955065633">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png"/><Relationship Id="rId26" Type="http://schemas.openxmlformats.org/officeDocument/2006/relationships/header" Target="header5.xml"/><Relationship Id="rId3" Type="http://schemas.openxmlformats.org/officeDocument/2006/relationships/styles" Target="styles.xml"/><Relationship Id="rId21" Type="http://schemas.openxmlformats.org/officeDocument/2006/relationships/header" Target="header2.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header" Target="header4.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footer" Target="footer4.xml"/><Relationship Id="rId5"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header" Target="header3.xml"/><Relationship Id="rId28" Type="http://schemas.openxmlformats.org/officeDocument/2006/relationships/theme" Target="theme/theme1.xml"/><Relationship Id="rId10" Type="http://schemas.openxmlformats.org/officeDocument/2006/relationships/footer" Target="footer1.xml"/><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6.jpeg"/><Relationship Id="rId22" Type="http://schemas.openxmlformats.org/officeDocument/2006/relationships/footer" Target="footer3.xml"/><Relationship Id="rId27"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_rels/footer3.xml.rels><?xml version="1.0" encoding="UTF-8" standalone="yes"?>
<Relationships xmlns="http://schemas.openxmlformats.org/package/2006/relationships"><Relationship Id="rId1" Type="http://schemas.openxmlformats.org/officeDocument/2006/relationships/image" Target="media/image3.png"/></Relationships>
</file>

<file path=word/_rels/footnotes.xml.rels><?xml version="1.0" encoding="UTF-8" standalone="yes"?>
<Relationships xmlns="http://schemas.openxmlformats.org/package/2006/relationships"><Relationship Id="rId13" Type="http://schemas.openxmlformats.org/officeDocument/2006/relationships/hyperlink" Target="https://eur-lex.europa.eu/legal-content/ES/TXT/?uri=OJ:L_202400622" TargetMode="External"/><Relationship Id="rId18" Type="http://schemas.openxmlformats.org/officeDocument/2006/relationships/hyperlink" Target="https://eur-lex.europa.eu/legal-content/ES/TXT/?uri=CELEX:32024R1127" TargetMode="External"/><Relationship Id="rId26" Type="http://schemas.openxmlformats.org/officeDocument/2006/relationships/hyperlink" Target="https://eur-lex.europa.eu/legal-content/ES/TXT/?uri=CELEX:32023R2485" TargetMode="External"/><Relationship Id="rId3" Type="http://schemas.openxmlformats.org/officeDocument/2006/relationships/hyperlink" Target="https://eur-lex.europa.eu/legal-content/ES/TXT/?uri=CELEX%3A32023R1804" TargetMode="External"/><Relationship Id="rId21" Type="http://schemas.openxmlformats.org/officeDocument/2006/relationships/hyperlink" Target="http://data.europa.eu/eli/dec/2024/2951/oj" TargetMode="External"/><Relationship Id="rId34" Type="http://schemas.openxmlformats.org/officeDocument/2006/relationships/hyperlink" Target="https://data.europa.eu/eli/dir/2024/3101/spa" TargetMode="External"/><Relationship Id="rId7" Type="http://schemas.openxmlformats.org/officeDocument/2006/relationships/hyperlink" Target="http://data.europa.eu/eli/reco/2024/2143/oj" TargetMode="External"/><Relationship Id="rId12" Type="http://schemas.openxmlformats.org/officeDocument/2006/relationships/hyperlink" Target="https://eur-lex.europa.eu/legal-content/ES/TXT/?uri=CELEX:32023R2485" TargetMode="External"/><Relationship Id="rId17" Type="http://schemas.openxmlformats.org/officeDocument/2006/relationships/hyperlink" Target="https://eur-lex.europa.eu/legal-content/ES/TXT/?uri=OJ:L_202401610" TargetMode="External"/><Relationship Id="rId25" Type="http://schemas.openxmlformats.org/officeDocument/2006/relationships/hyperlink" Target="https://www.transportes.gob.es/recursos_mfom/audienciainfopublica/recursos/resolucion_exenciones_reglamento_fueleu_audiencia.pdf" TargetMode="External"/><Relationship Id="rId33" Type="http://schemas.openxmlformats.org/officeDocument/2006/relationships/hyperlink" Target="https://www.gov.uk/government/consultations/uk-ets-scope-expansion-maritime-sector" TargetMode="External"/><Relationship Id="rId2" Type="http://schemas.openxmlformats.org/officeDocument/2006/relationships/hyperlink" Target="https://eur-lex.europa.eu/legal-content/ES/TXT/?uri=CELEX%3A32023L2413" TargetMode="External"/><Relationship Id="rId16" Type="http://schemas.openxmlformats.org/officeDocument/2006/relationships/hyperlink" Target="https://www.boe.es/buscar/doc.php?id=DOUE-L-2024-81420" TargetMode="External"/><Relationship Id="rId20" Type="http://schemas.openxmlformats.org/officeDocument/2006/relationships/hyperlink" Target="https://eur-lex.europa.eu/legal-content/ES/TXT/?uri=CELEX:32023R2485" TargetMode="External"/><Relationship Id="rId29" Type="http://schemas.openxmlformats.org/officeDocument/2006/relationships/hyperlink" Target="https://eur-lex.europa.eu/legal-content/ES/TXT/?uri=OJ:L_202302599" TargetMode="External"/><Relationship Id="rId1" Type="http://schemas.openxmlformats.org/officeDocument/2006/relationships/hyperlink" Target="https://eur-lex.europa.eu/legal-content/ES/TXT/PDF/?uri=OJ:L_202400917" TargetMode="External"/><Relationship Id="rId6" Type="http://schemas.openxmlformats.org/officeDocument/2006/relationships/hyperlink" Target="http://data.europa.eu/eli/reco/2024/2002/oj" TargetMode="External"/><Relationship Id="rId11" Type="http://schemas.openxmlformats.org/officeDocument/2006/relationships/hyperlink" Target="https://ec.europa.eu/info/law/better-regulation/have-your-say/initiatives/14217-Emissions-trading-system-ETS-Monitoring-and-Reporting-Regulation-amendment-in-response-to-the-ETS-revision_en" TargetMode="External"/><Relationship Id="rId24" Type="http://schemas.openxmlformats.org/officeDocument/2006/relationships/hyperlink" Target="http://data.europa.eu/eli/reg_impl/2024/2031/oj" TargetMode="External"/><Relationship Id="rId32" Type="http://schemas.openxmlformats.org/officeDocument/2006/relationships/hyperlink" Target="https://www.consilium.europa.eu/es/press/press-releases/2024/11/18/maritime-safety-council-adopts-new-laws-to-support-safe-clean-and-modern-shipping-in-the-eu/" TargetMode="External"/><Relationship Id="rId5" Type="http://schemas.openxmlformats.org/officeDocument/2006/relationships/hyperlink" Target="https://eur-lex.europa.eu/legal-content/ES/TXT/?uri=CELEX%3A32023L1791" TargetMode="External"/><Relationship Id="rId15" Type="http://schemas.openxmlformats.org/officeDocument/2006/relationships/hyperlink" Target="https://eur-lex.europa.eu/legal-content/ES/TXT/?uri=CELEX:32023D2440" TargetMode="External"/><Relationship Id="rId23" Type="http://schemas.openxmlformats.org/officeDocument/2006/relationships/hyperlink" Target="http://data.europa.eu/eli/reg_impl/2024/2027/oj" TargetMode="External"/><Relationship Id="rId28" Type="http://schemas.openxmlformats.org/officeDocument/2006/relationships/hyperlink" Target="https://eur-lex.europa.eu/legal-content/ES/TXT/?uri=OJ:L_202302297" TargetMode="External"/><Relationship Id="rId10" Type="http://schemas.openxmlformats.org/officeDocument/2006/relationships/hyperlink" Target="https://climate.ec.europa.eu/news-your-voice/news/new-monitoring-rules-agreed-eu-ets-including-non-co2-emissions-aviation-sector-2024-08-30_en" TargetMode="External"/><Relationship Id="rId19" Type="http://schemas.openxmlformats.org/officeDocument/2006/relationships/hyperlink" Target="http://data.europa.eu/eli/dec_impl/2024/2165/oj" TargetMode="External"/><Relationship Id="rId31" Type="http://schemas.openxmlformats.org/officeDocument/2006/relationships/hyperlink" Target="https://ec.europa.eu/info/law/better-regulation/have-your-say/initiatives/14330-Greenhouse-gas-emissions-from-offshore-ships-and-zero-rating-of-sustainable-fuels-monitoring-and-reporting-update-_en" TargetMode="External"/><Relationship Id="rId4" Type="http://schemas.openxmlformats.org/officeDocument/2006/relationships/hyperlink" Target="https://eur-lex.europa.eu/legal-content/ES/TXT/?uri=OJ%3AL_202401760" TargetMode="External"/><Relationship Id="rId9" Type="http://schemas.openxmlformats.org/officeDocument/2006/relationships/hyperlink" Target="https://boe.es/boe/dias/2024/07/16/pdfs/BOE-A-2024-14545.pdf" TargetMode="External"/><Relationship Id="rId14" Type="http://schemas.openxmlformats.org/officeDocument/2006/relationships/hyperlink" Target="https://eur-lex.europa.eu/legal-content/ES/TXT/?uri=CELEX%3A32023R2405" TargetMode="External"/><Relationship Id="rId22" Type="http://schemas.openxmlformats.org/officeDocument/2006/relationships/hyperlink" Target="https://eur-lex.europa.eu/legal-content/ES/TXT/?uri=CELEX%3A32023R1805" TargetMode="External"/><Relationship Id="rId27" Type="http://schemas.openxmlformats.org/officeDocument/2006/relationships/hyperlink" Target="https://eur-lex.europa.eu/eli/reg_impl/2023/2449/spa" TargetMode="External"/><Relationship Id="rId30" Type="http://schemas.openxmlformats.org/officeDocument/2006/relationships/hyperlink" Target="https://www.boe.es/buscar/doc.php?id=DOUE-L-2024-80156" TargetMode="External"/><Relationship Id="rId8" Type="http://schemas.openxmlformats.org/officeDocument/2006/relationships/hyperlink" Target="https://eur-lex.europa.eu/legal-content/ES/TXT/?uri=OJ:L_202302441"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3" Type="http://schemas.openxmlformats.org/officeDocument/2006/relationships/image" Target="media/image2.png"/><Relationship Id="rId2" Type="http://schemas.openxmlformats.org/officeDocument/2006/relationships/image" Target="media/image14.svg"/><Relationship Id="rId1" Type="http://schemas.openxmlformats.org/officeDocument/2006/relationships/image" Target="media/image13.png"/></Relationships>
</file>

<file path=word/_rels/header3.xml.rels><?xml version="1.0" encoding="UTF-8" standalone="yes"?>
<Relationships xmlns="http://schemas.openxmlformats.org/package/2006/relationships"><Relationship Id="rId2" Type="http://schemas.openxmlformats.org/officeDocument/2006/relationships/image" Target="media/image14.svg"/><Relationship Id="rId1" Type="http://schemas.openxmlformats.org/officeDocument/2006/relationships/image" Target="media/image13.png"/></Relationships>
</file>

<file path=word/_rels/header4.xml.rels><?xml version="1.0" encoding="UTF-8" standalone="yes"?>
<Relationships xmlns="http://schemas.openxmlformats.org/package/2006/relationships"><Relationship Id="rId3" Type="http://schemas.openxmlformats.org/officeDocument/2006/relationships/image" Target="media/image2.png"/><Relationship Id="rId2" Type="http://schemas.openxmlformats.org/officeDocument/2006/relationships/image" Target="media/image14.svg"/><Relationship Id="rId1" Type="http://schemas.openxmlformats.org/officeDocument/2006/relationships/image" Target="media/image13.png"/></Relationships>
</file>

<file path=word/_rels/header5.xml.rels><?xml version="1.0" encoding="UTF-8" standalone="yes"?>
<Relationships xmlns="http://schemas.openxmlformats.org/package/2006/relationships"><Relationship Id="rId2" Type="http://schemas.openxmlformats.org/officeDocument/2006/relationships/image" Target="media/image14.svg"/><Relationship Id="rId1" Type="http://schemas.openxmlformats.org/officeDocument/2006/relationships/image" Target="media/image1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Global Factor">
      <a:majorFont>
        <a:latin typeface="Calibri Light"/>
        <a:ea typeface=""/>
        <a:cs typeface=""/>
      </a:majorFont>
      <a:minorFont>
        <a:latin typeface="Calibri Light"/>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CC91E3B-14B3-4D93-84B2-2327311E9A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32</Pages>
  <Words>8707</Words>
  <Characters>47889</Characters>
  <Application>Microsoft Office Word</Application>
  <DocSecurity>4</DocSecurity>
  <Lines>399</Lines>
  <Paragraphs>112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56484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Global Factor</dc:creator>
  <cp:keywords/>
  <dc:description/>
  <cp:lastModifiedBy>Nuria Ortega</cp:lastModifiedBy>
  <cp:revision>2</cp:revision>
  <cp:lastPrinted>2024-12-30T07:47:00Z</cp:lastPrinted>
  <dcterms:created xsi:type="dcterms:W3CDTF">2025-01-07T08:46:00Z</dcterms:created>
  <dcterms:modified xsi:type="dcterms:W3CDTF">2025-01-07T08:46:00Z</dcterms:modified>
</cp:coreProperties>
</file>